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spacing w:after="0" w:before="0" w:line="240" w:lineRule="auto"/>
        <w:rPr>
          <w:rFonts w:ascii="メイリオ" w:eastAsia="メイリオ" w:hAnsi="メイリオ" w:cs="メイリオ" w:hint="default"/>
        </w:rPr>
      </w:pPr>
      <w:bookmarkStart w:id="1" w:name="_grrdi4go2ojg" w:colFirst="0" w:colLast="0"/>
      <w:bookmarkEnd w:id="1"/>
      <w:r>
        <w:rPr>
          <w:rFonts w:ascii="メイリオ" w:eastAsia="メイリオ" w:hAnsi="メイリオ" w:cs="メイリオ"/>
          <w:sz w:val="16"/>
          <w:szCs w:val="16"/>
          <w:rtl w:val="off"/>
        </w:rPr>
        <w:t>過去問チャレンジ</w:t>
      </w:r>
    </w:p>
    <w:p>
      <w:pPr>
        <w:keepNext w:val="off"/>
        <w:keepLines w:val="off"/>
        <w:pBdr>
          <w:bottom w:val="none"/>
        </w:pBdr>
        <w:shd w:val="clear" w:color="auto" w:fill="auto"/>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2021年5月試験　学科 問28</w:t>
      </w:r>
    </w:p>
    <w:p>
      <w:pPr>
        <w:ind w:left="0"/>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居住者に係る所得税の所得控除に関する次の記述のうち、適切なものはいくつあるか。</w:t>
      </w:r>
    </w:p>
    <w:p>
      <w:pPr>
        <w:ind w:left="0"/>
        <w:spacing w:after="0" w:before="0" w:line="240" w:lineRule="auto"/>
        <w:rPr>
          <w:lang w:eastAsia="ja-JP"/>
          <w:rFonts w:ascii="メイリオ" w:eastAsia="メイリオ" w:hAnsi="メイリオ" w:cs="メイリオ" w:hint="eastAsia"/>
          <w:sz w:val="16"/>
          <w:szCs w:val="16"/>
          <w:rtl w:val="off"/>
        </w:rPr>
      </w:pPr>
    </w:p>
    <w:p>
      <w:pPr>
        <w:pStyle w:val="a8"/>
        <w:numPr>
          <w:ilvl w:val="0"/>
          <w:numId w:val="1"/>
        </w:numPr>
        <w:spacing w:after="0" w:before="0" w:line="240" w:lineRule="auto"/>
        <w:rPr>
          <w:lang w:eastAsia="ja-JP"/>
          <w:rFonts w:ascii="メイリオ" w:eastAsia="メイリオ" w:hAnsi="メイリオ" w:cs="メイリオ" w:hint="eastAsia"/>
          <w:sz w:val="16"/>
          <w:szCs w:val="16"/>
          <w:rtl w:val="off"/>
        </w:rPr>
      </w:pPr>
      <w:r>
        <w:rPr>
          <w:rFonts w:ascii="メイリオ" w:eastAsia="メイリオ" w:hAnsi="メイリオ" w:cs="メイリオ"/>
          <w:sz w:val="16"/>
          <w:szCs w:val="16"/>
          <w:rtl w:val="off"/>
        </w:rPr>
        <w:t>合計所得金額が1,000万円を超える納税者は、配偶者の合計所得金額の多寡にかかわらず、配偶者控除および配偶者特別控除のいずれの適用も受けることができない</w:t>
      </w:r>
      <w:r>
        <w:rPr>
          <w:lang w:eastAsia="ja-JP"/>
          <w:rFonts w:ascii="メイリオ" w:eastAsia="メイリオ" w:hAnsi="メイリオ" w:cs="メイリオ"/>
          <w:sz w:val="16"/>
          <w:szCs w:val="16"/>
          <w:rtl w:val="off"/>
        </w:rPr>
        <w:t>。</w:t>
      </w:r>
    </w:p>
    <w:p>
      <w:pPr>
        <w:spacing w:after="0" w:before="0" w:line="240" w:lineRule="auto"/>
        <w:rPr>
          <w:lang w:eastAsia="ja-JP"/>
          <w:rFonts w:ascii="メイリオ" w:eastAsia="メイリオ" w:hAnsi="メイリオ" w:cs="メイリオ" w:hint="eastAsia"/>
          <w:sz w:val="16"/>
          <w:szCs w:val="16"/>
          <w:rtl w:val="off"/>
        </w:rPr>
      </w:pPr>
    </w:p>
    <w:p>
      <w:pPr>
        <w:pStyle w:val="a8"/>
        <w:numPr>
          <w:ilvl w:val="0"/>
          <w:numId w:val="1"/>
        </w:numPr>
        <w:spacing w:after="0" w:before="0" w:line="240" w:lineRule="auto"/>
        <w:rPr>
          <w:lang w:eastAsia="ja-JP"/>
          <w:rFonts w:ascii="メイリオ" w:eastAsia="メイリオ" w:hAnsi="メイリオ" w:cs="メイリオ" w:hint="eastAsia"/>
          <w:sz w:val="16"/>
          <w:szCs w:val="16"/>
          <w:rtl w:val="off"/>
        </w:rPr>
      </w:pPr>
      <w:r>
        <w:rPr>
          <w:rFonts w:ascii="メイリオ" w:eastAsia="メイリオ" w:hAnsi="メイリオ" w:cs="メイリオ"/>
          <w:sz w:val="16"/>
          <w:szCs w:val="16"/>
          <w:rtl w:val="off"/>
        </w:rPr>
        <w:t>扶養控除の対象となる扶養親族は、納税者と生計を一にする親族（納税者の配偶者を除く）のうち、合計所得金額が38万円以下で、16歳以上の者である。</w:t>
      </w:r>
    </w:p>
    <w:p>
      <w:pPr>
        <w:spacing w:after="0" w:before="0" w:line="240" w:lineRule="auto"/>
        <w:rPr>
          <w:lang w:eastAsia="ja-JP"/>
          <w:rFonts w:ascii="メイリオ" w:eastAsia="メイリオ" w:hAnsi="メイリオ" w:cs="メイリオ" w:hint="eastAsia"/>
          <w:sz w:val="16"/>
          <w:szCs w:val="16"/>
          <w:rtl w:val="off"/>
        </w:rPr>
      </w:pPr>
    </w:p>
    <w:p>
      <w:pPr>
        <w:pStyle w:val="a8"/>
        <w:numPr>
          <w:ilvl w:val="0"/>
          <w:numId w:val="1"/>
        </w:numPr>
        <w:spacing w:after="0" w:before="0" w:line="240" w:lineRule="auto"/>
        <w:rPr>
          <w:lang w:eastAsia="ja-JP"/>
          <w:rFonts w:ascii="メイリオ" w:eastAsia="メイリオ" w:hAnsi="メイリオ" w:cs="メイリオ" w:hint="eastAsia"/>
          <w:sz w:val="16"/>
          <w:szCs w:val="16"/>
          <w:rtl w:val="off"/>
        </w:rPr>
      </w:pPr>
      <w:r>
        <w:rPr>
          <w:rFonts w:ascii="メイリオ" w:eastAsia="メイリオ" w:hAnsi="メイリオ" w:cs="メイリオ"/>
          <w:sz w:val="16"/>
          <w:szCs w:val="16"/>
          <w:rtl w:val="off"/>
        </w:rPr>
        <w:t>ひとり親控除は、現に婚姻をしていない納税者で、生計を一にする子を有し、合計所得金額が500万円以下である者が適用を受けることができ、その控除額は38万円である。</w:t>
      </w:r>
    </w:p>
    <w:p>
      <w:pPr>
        <w:spacing w:after="0" w:before="0" w:line="240" w:lineRule="auto"/>
        <w:rPr>
          <w:lang w:eastAsia="ja-JP"/>
          <w:rFonts w:ascii="メイリオ" w:eastAsia="メイリオ" w:hAnsi="メイリオ" w:cs="メイリオ" w:hint="eastAsia"/>
          <w:sz w:val="16"/>
          <w:szCs w:val="16"/>
          <w:rtl w:val="off"/>
        </w:rPr>
      </w:pPr>
    </w:p>
    <w:p>
      <w:pPr>
        <w:pStyle w:val="a8"/>
        <w:numPr>
          <w:ilvl w:val="0"/>
          <w:numId w:val="1"/>
        </w:num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基礎控除は、すべての納税者が適用を受けることができ、その控除額は、納税者の合計所得金額の多寡にかかわらず、一律48万円である。</w:t>
      </w:r>
    </w:p>
    <w:p>
      <w:pPr>
        <w:ind w:left="720" w:firstLine="0"/>
        <w:spacing w:after="0" w:before="0" w:line="240" w:lineRule="auto"/>
        <w:rPr>
          <w:lang w:eastAsia="ja-JP"/>
          <w:rFonts w:ascii="メイリオ" w:eastAsia="メイリオ" w:hAnsi="メイリオ" w:cs="メイリオ" w:hint="eastAsia"/>
          <w:sz w:val="16"/>
          <w:szCs w:val="16"/>
          <w:rtl w:val="off"/>
        </w:rPr>
      </w:pPr>
    </w:p>
    <w:p>
      <w:pPr>
        <w:ind w:left="720" w:firstLine="0"/>
        <w:spacing w:after="0" w:before="0" w:line="240" w:lineRule="auto"/>
        <w:rPr>
          <w:rFonts w:ascii="メイリオ" w:eastAsia="メイリオ" w:hAnsi="メイリオ" w:cs="メイリオ" w:hint="default"/>
          <w:sz w:val="16"/>
          <w:szCs w:val="16"/>
        </w:rPr>
      </w:pP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１）1つ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２）2つ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３）3つ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４）4つ</w:t>
      </w:r>
    </w:p>
    <w:p>
      <w:pPr>
        <w:spacing w:after="0" w:before="0" w:line="240" w:lineRule="auto"/>
        <w:rPr>
          <w:rFonts w:ascii="メイリオ" w:eastAsia="メイリオ" w:hAnsi="メイリオ" w:cs="メイリオ" w:hint="default"/>
          <w:sz w:val="16"/>
          <w:szCs w:val="16"/>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lang w:eastAsia="ja-JP"/>
          <w:rFonts w:ascii="メイリオ" w:eastAsia="メイリオ" w:hAnsi="メイリオ" w:cs="メイリオ" w:hint="eastAsia"/>
          <w:sz w:val="16"/>
          <w:szCs w:val="16"/>
          <w:rtl w:val="off"/>
        </w:rPr>
      </w:pPr>
    </w:p>
    <w:p>
      <w:pPr>
        <w:spacing w:after="0" w:before="0" w:line="240" w:lineRule="auto"/>
        <w:rPr>
          <w:rFonts w:ascii="メイリオ" w:eastAsia="メイリオ" w:hAnsi="メイリオ" w:cs="メイリオ" w:hint="default"/>
          <w:sz w:val="16"/>
          <w:szCs w:val="16"/>
        </w:rPr>
      </w:pPr>
    </w:p>
    <w:p>
      <w:pPr>
        <w:pStyle w:val="a7"/>
        <w:keepNext w:val="off"/>
        <w:keepLines w:val="off"/>
        <w:spacing w:after="0" w:before="0" w:line="240" w:lineRule="auto"/>
        <w:rPr>
          <w:rFonts w:ascii="メイリオ" w:eastAsia="メイリオ" w:hAnsi="メイリオ" w:cs="メイリオ" w:hint="default"/>
          <w:sz w:val="16"/>
          <w:szCs w:val="16"/>
        </w:rPr>
      </w:pPr>
      <w:bookmarkStart w:id="2" w:name="_jbi8lgvqp952" w:colFirst="0" w:colLast="0"/>
      <w:bookmarkEnd w:id="2"/>
      <w:r>
        <w:rPr>
          <w:rFonts w:ascii="メイリオ" w:eastAsia="メイリオ" w:hAnsi="メイリオ" w:cs="メイリオ"/>
          <w:sz w:val="16"/>
          <w:szCs w:val="16"/>
          <w:rtl w:val="off"/>
        </w:rPr>
        <w:t>解答</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１番のみが適切になりますので正解は１です。</w:t>
      </w:r>
      <w:r>
        <w:rPr>
          <w:rFonts w:ascii="メイリオ" w:eastAsia="メイリオ" w:hAnsi="メイリオ" w:cs="メイリオ" w:hint="default"/>
          <w:sz w:val="16"/>
          <w:szCs w:val="16"/>
        </w:rPr>
        <w:br w:type="page"/>
      </w:r>
    </w:p>
    <w:p>
      <w:pPr>
        <w:pStyle w:val="b1"/>
        <w:spacing w:after="0" w:before="0" w:line="240" w:lineRule="auto"/>
        <w:rPr>
          <w:rFonts w:ascii="メイリオ" w:eastAsia="メイリオ" w:hAnsi="メイリオ" w:cs="メイリオ" w:hint="default"/>
        </w:rPr>
      </w:pPr>
      <w:bookmarkStart w:id="3" w:name="_r5wgbohzw8lo" w:colFirst="0" w:colLast="0"/>
      <w:bookmarkStart w:id="4" w:name="_Toc1659445147"/>
      <w:bookmarkEnd w:id="3"/>
      <w:r>
        <w:rPr>
          <w:rtl w:val="off"/>
        </w:rPr>
        <w:t>10.税額控</w:t>
      </w:r>
      <w:bookmarkEnd w:id="4"/>
      <w:r>
        <w:rPr>
          <w:rtl w:val="off"/>
        </w:rPr>
        <w:t>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勉強していると、細かいところばかりが出題されるため、そういうのばっかり覚えてしまい、そもそもの税額控除と所得控除がごっちゃになる事があります。課税の対象になる</w:t>
      </w:r>
      <w:r>
        <w:rPr>
          <w:rFonts w:ascii="メイリオ" w:eastAsia="メイリオ" w:hAnsi="メイリオ" w:cs="メイリオ"/>
          <w:b/>
          <w:sz w:val="16"/>
          <w:szCs w:val="16"/>
          <w:rtl w:val="off"/>
        </w:rPr>
        <w:t>所得金額</w:t>
      </w:r>
      <w:r>
        <w:rPr>
          <w:rFonts w:ascii="メイリオ" w:eastAsia="メイリオ" w:hAnsi="メイリオ" w:cs="メイリオ"/>
          <w:sz w:val="16"/>
          <w:szCs w:val="16"/>
          <w:rtl w:val="off"/>
        </w:rPr>
        <w:t>を安く見積もれるのが</w:t>
      </w:r>
      <w:r>
        <w:rPr>
          <w:rFonts w:ascii="メイリオ" w:eastAsia="メイリオ" w:hAnsi="メイリオ" w:cs="メイリオ"/>
          <w:b/>
          <w:sz w:val="16"/>
          <w:szCs w:val="16"/>
          <w:rtl w:val="off"/>
        </w:rPr>
        <w:t>所得控除</w:t>
      </w:r>
      <w:r>
        <w:rPr>
          <w:rFonts w:ascii="メイリオ" w:eastAsia="メイリオ" w:hAnsi="メイリオ" w:cs="メイリオ"/>
          <w:sz w:val="16"/>
          <w:szCs w:val="16"/>
          <w:rtl w:val="off"/>
        </w:rPr>
        <w:t>。</w:t>
      </w:r>
      <w:r>
        <w:rPr>
          <w:rFonts w:ascii="メイリオ" w:eastAsia="メイリオ" w:hAnsi="メイリオ" w:cs="メイリオ"/>
          <w:b/>
          <w:sz w:val="16"/>
          <w:szCs w:val="16"/>
          <w:rtl w:val="off"/>
        </w:rPr>
        <w:t>算出税額</w:t>
      </w:r>
      <w:r>
        <w:rPr>
          <w:rFonts w:ascii="メイリオ" w:eastAsia="メイリオ" w:hAnsi="メイリオ" w:cs="メイリオ"/>
          <w:sz w:val="16"/>
          <w:szCs w:val="16"/>
          <w:rtl w:val="off"/>
        </w:rPr>
        <w:t>から直接引けるのが</w:t>
      </w:r>
      <w:r>
        <w:rPr>
          <w:rFonts w:ascii="メイリオ" w:eastAsia="メイリオ" w:hAnsi="メイリオ" w:cs="メイリオ"/>
          <w:b/>
          <w:sz w:val="16"/>
          <w:szCs w:val="16"/>
          <w:rtl w:val="off"/>
        </w:rPr>
        <w:t>税額控除</w:t>
      </w:r>
      <w:r>
        <w:rPr>
          <w:rFonts w:ascii="メイリオ" w:eastAsia="メイリオ" w:hAnsi="メイリオ" w:cs="メイリオ"/>
          <w:sz w:val="16"/>
          <w:szCs w:val="16"/>
          <w:rtl w:val="off"/>
        </w:rPr>
        <w:t>です。税金が安くなるのはどちらもうれしいですが、税額控除のほうがお得になるということですね。</w:t>
      </w:r>
    </w:p>
    <w:p>
      <w:pPr>
        <w:pStyle w:val="a3"/>
        <w:spacing w:after="60" w:before="80" w:line="240" w:lineRule="auto"/>
        <w:rPr>
          <w:rFonts w:ascii="メイリオ" w:eastAsia="メイリオ" w:hAnsi="メイリオ" w:cs="メイリオ" w:hint="default"/>
        </w:rPr>
      </w:pPr>
      <w:bookmarkStart w:id="5" w:name="_9encn3emhfi7" w:colFirst="0" w:colLast="0"/>
      <w:bookmarkEnd w:id="5"/>
      <w:r>
        <w:rPr>
          <w:rFonts w:ascii="メイリオ" w:eastAsia="メイリオ" w:hAnsi="メイリオ" w:cs="メイリオ"/>
          <w:sz w:val="16"/>
          <w:szCs w:val="16"/>
          <w:rtl w:val="off"/>
        </w:rPr>
        <w:t>配当控除</w:t>
      </w:r>
    </w:p>
    <w:p>
      <w:pPr>
        <w:spacing w:after="0" w:before="0" w:line="240" w:lineRule="auto"/>
        <w:rPr>
          <w:rFonts w:ascii="メイリオ" w:eastAsia="メイリオ" w:hAnsi="メイリオ" w:cs="メイリオ" w:hint="default"/>
          <w:color w:val="CF2E2E"/>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納税者が</w:t>
      </w:r>
      <w:r>
        <w:rPr>
          <w:rFonts w:ascii="メイリオ" w:eastAsia="メイリオ" w:hAnsi="メイリオ" w:cs="メイリオ"/>
          <w:color w:val="CF2E2E"/>
          <w:sz w:val="16"/>
          <w:szCs w:val="16"/>
          <w:rtl w:val="off"/>
        </w:rPr>
        <w:t>内国法人</w:t>
      </w:r>
      <w:r>
        <w:rPr>
          <w:rFonts w:ascii="メイリオ" w:eastAsia="メイリオ" w:hAnsi="メイリオ" w:cs="メイリオ"/>
          <w:sz w:val="16"/>
          <w:szCs w:val="16"/>
          <w:rtl w:val="off"/>
        </w:rPr>
        <w:t>から支払いを受ける剰余金の配当、特定株式投資信託の収益の分配、一定の公募株式投資信託等の配当所得について、配当控除が受けられる。</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なお、申告不要制度、申告分離課税制度を選択した配当および外国株式の配当については、</w:t>
      </w:r>
      <w:r>
        <w:rPr>
          <w:rFonts w:ascii="メイリオ" w:eastAsia="メイリオ" w:hAnsi="メイリオ" w:cs="メイリオ"/>
          <w:color w:val="CF2E2E"/>
          <w:sz w:val="16"/>
          <w:szCs w:val="16"/>
          <w:rtl w:val="off"/>
        </w:rPr>
        <w:t>配当控除の適用を受けることはできない。</w:t>
      </w:r>
    </w:p>
    <w:p>
      <w:pPr>
        <w:pStyle w:val="a4"/>
        <w:spacing w:after="0" w:before="0" w:line="240" w:lineRule="auto"/>
        <w:rPr>
          <w:rFonts w:ascii="メイリオ" w:eastAsia="メイリオ" w:hAnsi="メイリオ" w:cs="メイリオ" w:hint="default"/>
        </w:rPr>
      </w:pPr>
      <w:bookmarkStart w:id="6" w:name="_c7pwo7mjgm2j" w:colFirst="0" w:colLast="0"/>
      <w:bookmarkEnd w:id="6"/>
      <w:r>
        <w:rPr>
          <w:rFonts w:ascii="メイリオ" w:eastAsia="メイリオ" w:hAnsi="メイリオ" w:cs="メイリオ"/>
          <w:sz w:val="16"/>
          <w:szCs w:val="16"/>
          <w:rtl w:val="off"/>
        </w:rPr>
        <w:t>控除額</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配当所得が他の課税総所得金額等の上積みになっているとして、次の金額が税額控除される。対象となる配当所得は、損益通算前の金額である。</w:t>
      </w:r>
    </w:p>
    <w:tbl>
      <w:tblPr>
        <w:tblStyle w:val="a6"/>
        <w:tblW w:w="6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3904"/>
        <w:gridCol w:w="2365"/>
      </w:tblGrid>
      <w:tr>
        <w:trPr>
          <w:cantSplit/>
          <w:trHeight w:val="272" w:hRule="atLeast"/>
        </w:trPr>
        <w:tc>
          <w:tcPr>
            <w:tcW w:w="3904"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課税総所得金額等</w:t>
            </w:r>
          </w:p>
        </w:tc>
        <w:tc>
          <w:tcPr>
            <w:tcW w:w="2365"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配当控除額</w:t>
            </w:r>
          </w:p>
        </w:tc>
      </w:tr>
      <w:tr>
        <w:trPr>
          <w:cantSplit/>
          <w:trHeight w:val="272" w:hRule="atLeast"/>
        </w:trPr>
        <w:tc>
          <w:tcPr>
            <w:tcW w:w="3904" w:type="dxa"/>
            <w:tcBorders>
              <w:top w:val="single" w:sz="6" w:space="0" w:color="auto"/>
            </w:tcBorders>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color w:val="CF2E2E"/>
                <w:sz w:val="16"/>
                <w:szCs w:val="16"/>
                <w:rtl w:val="off"/>
              </w:rPr>
              <w:t>１，０００万円以下の</w:t>
            </w:r>
            <w:r>
              <w:rPr>
                <w:rFonts w:ascii="メイリオ" w:eastAsia="メイリオ" w:hAnsi="メイリオ" w:cs="メイリオ"/>
                <w:b/>
                <w:color w:val="CF2E2E"/>
                <w:sz w:val="16"/>
                <w:szCs w:val="16"/>
                <w:rtl w:val="off"/>
              </w:rPr>
              <w:t>部分</w:t>
            </w:r>
            <w:r>
              <w:rPr>
                <w:rFonts w:ascii="メイリオ" w:eastAsia="メイリオ" w:hAnsi="メイリオ" w:cs="メイリオ"/>
                <w:sz w:val="16"/>
                <w:szCs w:val="16"/>
                <w:rtl w:val="off"/>
              </w:rPr>
              <w:t>の配当所得</w:t>
            </w:r>
          </w:p>
        </w:tc>
        <w:tc>
          <w:tcPr>
            <w:tcW w:w="2365"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配当所得金額の</w:t>
            </w:r>
            <w:r>
              <w:rPr>
                <w:rFonts w:ascii="メイリオ" w:eastAsia="メイリオ" w:hAnsi="メイリオ" w:cs="メイリオ"/>
                <w:color w:val="CF2E2E"/>
                <w:sz w:val="16"/>
                <w:szCs w:val="16"/>
                <w:rtl w:val="off"/>
              </w:rPr>
              <w:t>１０％</w:t>
            </w:r>
          </w:p>
        </w:tc>
      </w:tr>
      <w:tr>
        <w:trPr>
          <w:cantSplit/>
          <w:trHeight w:val="272" w:hRule="atLeast"/>
        </w:trPr>
        <w:tc>
          <w:tcPr>
            <w:tcW w:w="3904"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color w:val="CF2E2E"/>
                <w:sz w:val="16"/>
                <w:szCs w:val="16"/>
                <w:rtl w:val="off"/>
              </w:rPr>
              <w:t>１，０００万円超の</w:t>
            </w:r>
            <w:r>
              <w:rPr>
                <w:rFonts w:ascii="メイリオ" w:eastAsia="メイリオ" w:hAnsi="メイリオ" w:cs="メイリオ"/>
                <w:b/>
                <w:color w:val="CF2E2E"/>
                <w:sz w:val="16"/>
                <w:szCs w:val="16"/>
                <w:rtl w:val="off"/>
              </w:rPr>
              <w:t>部分</w:t>
            </w:r>
            <w:r>
              <w:rPr>
                <w:rFonts w:ascii="メイリオ" w:eastAsia="メイリオ" w:hAnsi="メイリオ" w:cs="メイリオ"/>
                <w:sz w:val="16"/>
                <w:szCs w:val="16"/>
                <w:rtl w:val="off"/>
              </w:rPr>
              <w:t>の配当所得</w:t>
            </w:r>
          </w:p>
        </w:tc>
        <w:tc>
          <w:tcPr>
            <w:tcW w:w="2365"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配当所得金額の</w:t>
            </w:r>
            <w:r>
              <w:rPr>
                <w:rFonts w:ascii="メイリオ" w:eastAsia="メイリオ" w:hAnsi="メイリオ" w:cs="メイリオ"/>
                <w:color w:val="CF2E2E"/>
                <w:sz w:val="16"/>
                <w:szCs w:val="16"/>
                <w:rtl w:val="off"/>
              </w:rPr>
              <w:t>５％</w:t>
            </w:r>
          </w:p>
        </w:tc>
      </w:tr>
    </w:tbl>
    <w:p>
      <w:pPr>
        <w:jc w:val="cente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900万の人が200万配当受けたら半分が10%、半分が5%だね。</w:t>
      </w:r>
    </w:p>
    <w:p>
      <w:pPr>
        <w:pStyle w:val="a3"/>
        <w:spacing w:after="40" w:before="60" w:line="240" w:lineRule="auto"/>
        <w:rPr>
          <w:rFonts w:ascii="メイリオ" w:eastAsia="メイリオ" w:hAnsi="メイリオ" w:cs="メイリオ" w:hint="default"/>
        </w:rPr>
      </w:pPr>
      <w:bookmarkStart w:id="7" w:name="_z14r0zbvia7e" w:colFirst="0" w:colLast="0"/>
      <w:bookmarkEnd w:id="7"/>
      <w:r>
        <w:rPr>
          <w:rFonts w:ascii="メイリオ" w:eastAsia="メイリオ" w:hAnsi="メイリオ" w:cs="メイリオ"/>
          <w:sz w:val="16"/>
          <w:szCs w:val="16"/>
          <w:rtl w:val="off"/>
        </w:rPr>
        <w:t>住宅借入金等特別控除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住宅ローン等を利用し自己の居住用住宅を新築・取得または増改築を</w:t>
      </w:r>
      <w:r>
        <w:rPr>
          <w:lang w:eastAsia="ja-JP"/>
          <w:rFonts w:ascii="メイリオ" w:eastAsia="メイリオ" w:hAnsi="メイリオ" w:cs="メイリオ"/>
          <w:sz w:val="16"/>
          <w:szCs w:val="16"/>
          <w:rtl w:val="off"/>
        </w:rPr>
        <w:t>すると</w:t>
      </w:r>
      <w:r>
        <w:rPr>
          <w:rFonts w:ascii="メイリオ" w:eastAsia="メイリオ" w:hAnsi="メイリオ" w:cs="メイリオ"/>
          <w:sz w:val="16"/>
          <w:szCs w:val="16"/>
          <w:rtl w:val="off"/>
        </w:rPr>
        <w:t>受けられる控除</w:t>
      </w:r>
      <w:r>
        <w:rPr>
          <w:lang w:eastAsia="ja-JP"/>
          <w:rFonts w:ascii="メイリオ" w:eastAsia="メイリオ" w:hAnsi="メイリオ" w:cs="メイリオ"/>
          <w:sz w:val="16"/>
          <w:szCs w:val="16"/>
          <w:rtl w:val="off"/>
        </w:rPr>
        <w:t>。</w:t>
      </w:r>
    </w:p>
    <w:p>
      <w:pPr>
        <w:pStyle w:val="a4"/>
        <w:spacing w:after="0" w:before="0" w:line="260" w:lineRule="exact"/>
        <w:rPr>
          <w:rFonts w:ascii="メイリオ" w:eastAsia="メイリオ" w:hAnsi="メイリオ" w:cs="メイリオ" w:hint="default"/>
        </w:rPr>
      </w:pPr>
      <w:bookmarkStart w:id="8" w:name="_rs41x0xyuzpo" w:colFirst="0" w:colLast="0"/>
      <w:bookmarkEnd w:id="8"/>
      <w:r>
        <w:rPr>
          <w:rFonts w:ascii="メイリオ" w:eastAsia="メイリオ" w:hAnsi="メイリオ" w:cs="メイリオ"/>
          <w:sz w:val="16"/>
          <w:szCs w:val="16"/>
          <w:rtl w:val="off"/>
        </w:rPr>
        <w:t>適用対象住宅</w:t>
      </w:r>
    </w:p>
    <w:p>
      <w:pPr>
        <w:pStyle w:val="a7"/>
        <w:spacing w:after="0" w:before="0" w:line="26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w:t>
      </w:r>
      <w:r>
        <w:rPr>
          <w:rFonts w:ascii="メイリオ" w:eastAsia="メイリオ" w:hAnsi="メイリオ" w:cs="メイリオ"/>
          <w:sz w:val="16"/>
          <w:szCs w:val="16"/>
          <w:rtl w:val="off"/>
        </w:rPr>
        <w:t>新築住宅の場合</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自己が居住するための住宅で次の要件を満たすものであること</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床面積が</w:t>
      </w:r>
      <w:r>
        <w:rPr>
          <w:lang w:eastAsia="ja-JP"/>
          <w:rFonts w:ascii="メイリオ" w:eastAsia="メイリオ" w:hAnsi="メイリオ" w:cs="メイリオ"/>
          <w:color w:val="CF2E2E"/>
          <w:sz w:val="16"/>
          <w:szCs w:val="16"/>
          <w:rtl w:val="off"/>
        </w:rPr>
        <w:t>50</w:t>
      </w:r>
      <w:r>
        <w:rPr>
          <w:rFonts w:ascii="メイリオ" w:eastAsia="メイリオ" w:hAnsi="メイリオ" w:cs="メイリオ"/>
          <w:color w:val="CF2E2E"/>
          <w:sz w:val="16"/>
          <w:szCs w:val="16"/>
          <w:rtl w:val="off"/>
        </w:rPr>
        <w:t>㎡</w:t>
      </w:r>
      <w:r>
        <w:rPr>
          <w:rFonts w:ascii="メイリオ" w:eastAsia="メイリオ" w:hAnsi="メイリオ" w:cs="メイリオ"/>
          <w:sz w:val="16"/>
          <w:szCs w:val="16"/>
          <w:rtl w:val="off"/>
        </w:rPr>
        <w:t>以上であること</w:t>
      </w:r>
      <w:r>
        <w:rPr>
          <w:lang w:eastAsia="ja-JP"/>
          <w:rFonts w:ascii="メイリオ" w:eastAsia="メイリオ" w:hAnsi="メイリオ" w:cs="メイリオ"/>
          <w:sz w:val="16"/>
          <w:szCs w:val="16"/>
          <w:rtl w:val="off"/>
        </w:rPr>
        <w:t>(合計所得1,000万以下</w:t>
      </w:r>
      <w:r>
        <w:rPr>
          <w:lang w:eastAsia="ja-JP"/>
          <w:rFonts w:ascii="メイリオ" w:eastAsia="メイリオ" w:hAnsi="メイリオ" w:cs="メイリオ"/>
          <w:sz w:val="16"/>
          <w:szCs w:val="16"/>
          <w:rtl w:val="off"/>
        </w:rPr>
        <w:t>で2023年12月31日まで確認</w:t>
      </w:r>
      <w:r>
        <w:rPr>
          <w:lang w:eastAsia="ja-JP"/>
          <w:rFonts w:ascii="メイリオ" w:eastAsia="メイリオ" w:hAnsi="メイリオ" w:cs="メイリオ"/>
          <w:sz w:val="16"/>
          <w:szCs w:val="16"/>
          <w:rtl w:val="off"/>
        </w:rPr>
        <w:t>を受</w:t>
      </w:r>
      <w:r>
        <w:rPr>
          <w:lang w:eastAsia="ja-JP"/>
          <w:rFonts w:ascii="メイリオ" w:eastAsia="メイリオ" w:hAnsi="メイリオ" w:cs="メイリオ"/>
          <w:sz w:val="16"/>
          <w:szCs w:val="16"/>
          <w:rtl w:val="off"/>
        </w:rPr>
        <w:t>け</w:t>
      </w:r>
      <w:r>
        <w:rPr>
          <w:lang w:eastAsia="ja-JP"/>
          <w:rFonts w:ascii="メイリオ" w:eastAsia="メイリオ" w:hAnsi="メイリオ" w:cs="メイリオ"/>
          <w:sz w:val="16"/>
          <w:szCs w:val="16"/>
          <w:rtl w:val="off"/>
        </w:rPr>
        <w:t>た所得</w:t>
      </w:r>
      <w:r>
        <w:rPr>
          <w:lang w:eastAsia="ja-JP"/>
          <w:rFonts w:ascii="メイリオ" w:eastAsia="メイリオ" w:hAnsi="メイリオ" w:cs="メイリオ"/>
          <w:sz w:val="16"/>
          <w:szCs w:val="16"/>
          <w:rtl w:val="off"/>
        </w:rPr>
        <w:t>の</w:t>
      </w:r>
      <w:r>
        <w:rPr>
          <w:lang w:eastAsia="ja-JP"/>
          <w:rFonts w:ascii="メイリオ" w:eastAsia="メイリオ" w:hAnsi="メイリオ" w:cs="メイリオ"/>
          <w:sz w:val="16"/>
          <w:szCs w:val="16"/>
          <w:rtl w:val="off"/>
        </w:rPr>
        <w:t>場</w:t>
      </w:r>
      <w:r>
        <w:rPr>
          <w:lang w:eastAsia="ja-JP"/>
          <w:rFonts w:ascii="メイリオ" w:eastAsia="メイリオ" w:hAnsi="メイリオ" w:cs="メイリオ"/>
          <w:sz w:val="16"/>
          <w:szCs w:val="16"/>
          <w:rtl w:val="off"/>
        </w:rPr>
        <w:t>合</w:t>
      </w:r>
      <w:r>
        <w:rPr>
          <w:lang w:eastAsia="ja-JP"/>
          <w:rFonts w:ascii="メイリオ" w:eastAsia="メイリオ" w:hAnsi="メイリオ" w:cs="メイリオ"/>
          <w:color w:val="CF2E2E"/>
          <w:sz w:val="16"/>
          <w:szCs w:val="16"/>
          <w:rtl w:val="off"/>
        </w:rPr>
        <w:t>40㎡</w:t>
      </w:r>
      <w:r>
        <w:rPr>
          <w:lang w:eastAsia="ja-JP"/>
          <w:rFonts w:ascii="メイリオ" w:eastAsia="メイリオ" w:hAnsi="メイリオ" w:cs="メイリオ"/>
          <w:sz w:val="16"/>
          <w:szCs w:val="16"/>
          <w:rtl w:val="off"/>
        </w:rPr>
        <w:t>以上)</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床面積の</w:t>
      </w:r>
      <w:r>
        <w:rPr>
          <w:rFonts w:ascii="メイリオ" w:eastAsia="メイリオ" w:hAnsi="メイリオ" w:cs="メイリオ"/>
          <w:color w:val="CF2E2E"/>
          <w:sz w:val="16"/>
          <w:szCs w:val="16"/>
          <w:rtl w:val="off"/>
        </w:rPr>
        <w:t>２分の１</w:t>
      </w:r>
      <w:r>
        <w:rPr>
          <w:rFonts w:ascii="メイリオ" w:eastAsia="メイリオ" w:hAnsi="メイリオ" w:cs="メイリオ"/>
          <w:sz w:val="16"/>
          <w:szCs w:val="16"/>
          <w:rtl w:val="off"/>
        </w:rPr>
        <w:t>以上がもっぱら自己の居住の用に供されるものであること</w:t>
      </w:r>
    </w:p>
    <w:p>
      <w:pPr>
        <w:pStyle w:val="a7"/>
        <w:spacing w:after="0" w:before="0" w:line="26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w:t>
      </w:r>
      <w:r>
        <w:rPr>
          <w:rFonts w:ascii="メイリオ" w:eastAsia="メイリオ" w:hAnsi="メイリオ" w:cs="メイリオ"/>
          <w:sz w:val="16"/>
          <w:szCs w:val="16"/>
          <w:rtl w:val="off"/>
        </w:rPr>
        <w:t>中古住宅の場合</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自己が居住するための住宅で次の要件を満たすものであること</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床面積が</w:t>
      </w:r>
      <w:r>
        <w:rPr>
          <w:rFonts w:ascii="メイリオ" w:eastAsia="メイリオ" w:hAnsi="メイリオ" w:cs="メイリオ"/>
          <w:color w:val="CF2E2E"/>
          <w:sz w:val="16"/>
          <w:szCs w:val="16"/>
          <w:rtl w:val="off"/>
        </w:rPr>
        <w:t>５０㎡</w:t>
      </w:r>
      <w:r>
        <w:rPr>
          <w:rFonts w:ascii="メイリオ" w:eastAsia="メイリオ" w:hAnsi="メイリオ" w:cs="メイリオ"/>
          <w:sz w:val="16"/>
          <w:szCs w:val="16"/>
          <w:rtl w:val="off"/>
        </w:rPr>
        <w:t>以上であること</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床面積の</w:t>
      </w:r>
      <w:r>
        <w:rPr>
          <w:rFonts w:ascii="メイリオ" w:eastAsia="メイリオ" w:hAnsi="メイリオ" w:cs="メイリオ"/>
          <w:color w:val="CF2E2E"/>
          <w:sz w:val="16"/>
          <w:szCs w:val="16"/>
          <w:rtl w:val="off"/>
        </w:rPr>
        <w:t>２分の１</w:t>
      </w:r>
      <w:r>
        <w:rPr>
          <w:rFonts w:ascii="メイリオ" w:eastAsia="メイリオ" w:hAnsi="メイリオ" w:cs="メイリオ"/>
          <w:sz w:val="16"/>
          <w:szCs w:val="16"/>
          <w:rtl w:val="off"/>
        </w:rPr>
        <w:t>以上がもっぱら自己の居住の用に供されるものであること</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次のいずれかに該当するものであること</w:t>
      </w:r>
    </w:p>
    <w:p>
      <w:pPr>
        <w:ind w:left="720" w:hanging="360"/>
        <w:numPr>
          <w:ilvl w:val="0"/>
          <w:numId w:val="4"/>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耐火建築物であるときは取得の日以前２５年以内に建築されたものであること</w:t>
      </w:r>
    </w:p>
    <w:p>
      <w:pPr>
        <w:ind w:left="720" w:hanging="360"/>
        <w:numPr>
          <w:ilvl w:val="0"/>
          <w:numId w:val="4"/>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耐火建築物以外であるときは取得の日以前２０年以内に建築されたものであること</w:t>
      </w:r>
    </w:p>
    <w:p>
      <w:pPr>
        <w:ind w:left="720" w:hanging="360"/>
        <w:numPr>
          <w:ilvl w:val="0"/>
          <w:numId w:val="4"/>
        </w:numPr>
        <w:spacing w:after="0" w:before="0" w:line="240" w:lineRule="exact"/>
        <w:rPr>
          <w:lang/>
          <w:rFonts w:ascii="メイリオ" w:eastAsia="メイリオ" w:hAnsi="メイリオ" w:cs="メイリオ"/>
          <w:sz w:val="16"/>
          <w:szCs w:val="16"/>
          <w:rtl w:val="off"/>
        </w:rPr>
      </w:pPr>
      <w:r>
        <w:rPr>
          <w:rFonts w:ascii="メイリオ" w:eastAsia="メイリオ" w:hAnsi="メイリオ" w:cs="メイリオ"/>
          <w:sz w:val="16"/>
          <w:szCs w:val="16"/>
          <w:rtl w:val="off"/>
        </w:rPr>
        <w:t>地震に対する一定の基準に適合するものであること※</w:t>
      </w:r>
    </w:p>
    <w:p>
      <w:pPr>
        <w:ind w:left="720" w:hanging="360"/>
        <w:numPr>
          <w:ilvl w:val="0"/>
          <w:numId w:val="4"/>
        </w:numPr>
        <w:spacing w:after="0" w:before="0" w:line="240" w:lineRule="exact"/>
        <w:rPr>
          <w:lang/>
          <w:rFonts w:ascii="メイリオ" w:eastAsia="メイリオ" w:hAnsi="メイリオ" w:cs="メイリオ"/>
          <w:sz w:val="16"/>
          <w:szCs w:val="16"/>
          <w:rtl w:val="off"/>
        </w:rPr>
      </w:pPr>
      <w:r>
        <w:rPr>
          <w:rFonts w:ascii="メイリオ" w:eastAsia="メイリオ" w:hAnsi="メイリオ" w:cs="メイリオ"/>
          <w:sz w:val="16"/>
          <w:szCs w:val="16"/>
          <w:rtl w:val="off"/>
        </w:rPr>
        <w:t>既存住宅売買瑕疵保険に加入していること</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２０１４年４月１日以後においては、住宅の取得の日までに耐震改修を行うことを申請等し、かつその者の居住の用に供する日(取得から６カ月以内)までに耐震改修により要耐震改修住宅が耐震基準に適合する証明がされたものが含まれる)</w:t>
      </w:r>
    </w:p>
    <w:p>
      <w:pPr>
        <w:pStyle w:val="a7"/>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w:t>
      </w:r>
      <w:r>
        <w:rPr>
          <w:rFonts w:ascii="メイリオ" w:eastAsia="メイリオ" w:hAnsi="メイリオ" w:cs="メイリオ"/>
          <w:sz w:val="16"/>
          <w:szCs w:val="16"/>
          <w:rtl w:val="off"/>
        </w:rPr>
        <w:t>増改築の場合</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自己が所有する居住用住宅の増改築等で次の要件を満たすものであること</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増改築等の工事費用の額が１００万円を超える</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増改築後の床面積５０㎡以上である</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増改築後の床面積の２分の１以上がもっぱら自己の居住の用に供されるものである</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自己の居住の用に供される部分の工事費用の額が、増改築等の工事費用の総額の２分の１以上である</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次のいずれかに該当する工事であること</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一定の増改築・大規模修繕の工事</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一定の耐震改修工事</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一定のバリアフリー改修工事</w:t>
      </w:r>
    </w:p>
    <w:p>
      <w:pPr>
        <w:ind w:left="720" w:hanging="360"/>
        <w:numPr>
          <w:ilvl w:val="0"/>
          <w:numId w:val="3"/>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一定の省エネ改修工事</w:t>
      </w:r>
    </w:p>
    <w:p>
      <w:pPr>
        <w:pStyle w:val="a4"/>
        <w:spacing w:after="60" w:before="80" w:line="240" w:lineRule="auto"/>
        <w:rPr>
          <w:rFonts w:ascii="メイリオ" w:eastAsia="メイリオ" w:hAnsi="メイリオ" w:cs="メイリオ" w:hint="default"/>
        </w:rPr>
      </w:pPr>
      <w:bookmarkStart w:id="9" w:name="_wmne3lyirv1g" w:colFirst="0" w:colLast="0"/>
      <w:bookmarkEnd w:id="9"/>
      <w:r>
        <w:rPr>
          <w:rFonts w:ascii="メイリオ" w:eastAsia="メイリオ" w:hAnsi="メイリオ" w:cs="メイリオ"/>
          <w:sz w:val="16"/>
          <w:szCs w:val="16"/>
          <w:rtl w:val="off"/>
        </w:rPr>
        <w:t>適用条件</w:t>
      </w:r>
    </w:p>
    <w:p>
      <w:pPr>
        <w:ind w:left="720" w:hanging="360"/>
        <w:numPr>
          <w:ilvl w:val="0"/>
          <w:numId w:val="4"/>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その年の合計所得金額が</w:t>
      </w:r>
      <w:r>
        <w:rPr>
          <w:lang w:eastAsia="ja-JP"/>
          <w:rFonts w:ascii="メイリオ" w:eastAsia="メイリオ" w:hAnsi="メイリオ" w:cs="メイリオ"/>
          <w:color w:val="CF2E2E"/>
          <w:sz w:val="16"/>
          <w:szCs w:val="16"/>
          <w:rtl w:val="off"/>
        </w:rPr>
        <w:t>２</w:t>
      </w:r>
      <w:r>
        <w:rPr>
          <w:rFonts w:ascii="メイリオ" w:eastAsia="メイリオ" w:hAnsi="メイリオ" w:cs="メイリオ"/>
          <w:color w:val="CF2E2E"/>
          <w:sz w:val="16"/>
          <w:szCs w:val="16"/>
          <w:rtl w:val="off"/>
        </w:rPr>
        <w:t>，０００万円以下</w:t>
      </w:r>
      <w:r>
        <w:rPr>
          <w:rFonts w:ascii="メイリオ" w:eastAsia="メイリオ" w:hAnsi="メイリオ" w:cs="メイリオ"/>
          <w:sz w:val="16"/>
          <w:szCs w:val="16"/>
          <w:rtl w:val="off"/>
        </w:rPr>
        <w:t>である</w:t>
      </w:r>
    </w:p>
    <w:p>
      <w:pPr>
        <w:ind w:left="720" w:hanging="360"/>
        <w:numPr>
          <w:ilvl w:val="0"/>
          <w:numId w:val="4"/>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取得した家屋には、取得の日から</w:t>
      </w:r>
      <w:r>
        <w:rPr>
          <w:rFonts w:ascii="メイリオ" w:eastAsia="メイリオ" w:hAnsi="メイリオ" w:cs="メイリオ"/>
          <w:color w:val="CF2E2E"/>
          <w:sz w:val="16"/>
          <w:szCs w:val="16"/>
          <w:rtl w:val="off"/>
        </w:rPr>
        <w:t>６カ月以内</w:t>
      </w:r>
      <w:r>
        <w:rPr>
          <w:rFonts w:ascii="メイリオ" w:eastAsia="メイリオ" w:hAnsi="メイリオ" w:cs="メイリオ"/>
          <w:sz w:val="16"/>
          <w:szCs w:val="16"/>
          <w:rtl w:val="off"/>
        </w:rPr>
        <w:t>に入居し、控除を受ける年の</w:t>
      </w:r>
      <w:r>
        <w:rPr>
          <w:rFonts w:ascii="メイリオ" w:eastAsia="メイリオ" w:hAnsi="メイリオ" w:cs="メイリオ"/>
          <w:color w:val="CF2E2E"/>
          <w:sz w:val="16"/>
          <w:szCs w:val="16"/>
          <w:rtl w:val="off"/>
        </w:rPr>
        <w:t>１２月３１日</w:t>
      </w:r>
      <w:r>
        <w:rPr>
          <w:rFonts w:ascii="メイリオ" w:eastAsia="メイリオ" w:hAnsi="メイリオ" w:cs="メイリオ"/>
          <w:sz w:val="16"/>
          <w:szCs w:val="16"/>
          <w:rtl w:val="off"/>
        </w:rPr>
        <w:t>まで引き続き居住している</w:t>
      </w:r>
    </w:p>
    <w:p>
      <w:pPr>
        <w:ind w:left="720" w:hanging="360"/>
        <w:numPr>
          <w:ilvl w:val="0"/>
          <w:numId w:val="4"/>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居住した</w:t>
      </w:r>
      <w:r>
        <w:rPr>
          <w:rFonts w:ascii="メイリオ" w:eastAsia="メイリオ" w:hAnsi="メイリオ" w:cs="メイリオ"/>
          <w:color w:val="CF2E2E"/>
          <w:sz w:val="16"/>
          <w:szCs w:val="16"/>
          <w:rtl w:val="off"/>
        </w:rPr>
        <w:t>年、前年、前々年</w:t>
      </w:r>
      <w:r>
        <w:rPr>
          <w:rFonts w:ascii="メイリオ" w:eastAsia="メイリオ" w:hAnsi="メイリオ" w:cs="メイリオ"/>
          <w:sz w:val="16"/>
          <w:szCs w:val="16"/>
          <w:rtl w:val="off"/>
        </w:rPr>
        <w:t>に次の特例の適用を受けていない</w:t>
      </w:r>
    </w:p>
    <w:p>
      <w:pPr>
        <w:ind w:left="720" w:hanging="360"/>
        <w:numPr>
          <w:ilvl w:val="0"/>
          <w:numId w:val="5"/>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居住用財産の譲渡の特例(３，０００万円特別控除や軽減税率)</w:t>
      </w:r>
    </w:p>
    <w:p>
      <w:pPr>
        <w:ind w:left="720" w:hanging="360"/>
        <w:numPr>
          <w:ilvl w:val="0"/>
          <w:numId w:val="5"/>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居住用財産の買換え・交換の特例</w:t>
      </w:r>
    </w:p>
    <w:p>
      <w:pPr>
        <w:ind w:left="720" w:hanging="360"/>
        <w:numPr>
          <w:ilvl w:val="0"/>
          <w:numId w:val="5"/>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中高層耐火建築物への買換え・交換の特例</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居住年から３年目に該当する年中までに従前の住宅を譲渡し、上記特例の適用を受けた場合も住宅借入金等特別控除は受けられないので遡って修正申告することになる。</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ただし、</w:t>
      </w:r>
      <w:r>
        <w:rPr>
          <w:rFonts w:ascii="メイリオ" w:eastAsia="メイリオ" w:hAnsi="メイリオ" w:cs="メイリオ"/>
          <w:color w:val="CF2E2E"/>
          <w:sz w:val="16"/>
          <w:szCs w:val="16"/>
          <w:rtl w:val="off"/>
        </w:rPr>
        <w:t>居住用財産の買換え等の場合の譲渡損失の損益通算および繰越控除制度との併用はできる</w:t>
      </w:r>
      <w:r>
        <w:rPr>
          <w:rFonts w:ascii="メイリオ" w:eastAsia="メイリオ" w:hAnsi="メイリオ" w:cs="メイリオ"/>
          <w:sz w:val="16"/>
          <w:szCs w:val="16"/>
          <w:rtl w:val="off"/>
        </w:rPr>
        <w:t>。</w:t>
      </w:r>
    </w:p>
    <w:p>
      <w:pPr>
        <w:pStyle w:val="a4"/>
        <w:spacing w:after="20" w:before="20" w:line="240" w:lineRule="auto"/>
        <w:rPr>
          <w:rFonts w:ascii="メイリオ" w:eastAsia="メイリオ" w:hAnsi="メイリオ" w:cs="メイリオ" w:hint="default"/>
        </w:rPr>
      </w:pPr>
      <w:bookmarkStart w:id="10" w:name="_wsmzvkoofnhx" w:colFirst="0" w:colLast="0"/>
      <w:bookmarkEnd w:id="10"/>
      <w:r>
        <w:rPr>
          <w:rFonts w:ascii="メイリオ" w:eastAsia="メイリオ" w:hAnsi="メイリオ" w:cs="メイリオ"/>
          <w:sz w:val="16"/>
          <w:szCs w:val="16"/>
          <w:rtl w:val="off"/>
        </w:rPr>
        <w:t>控除の対象となる借入金</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金融機関等(公的機関を含む)からの借入金で、</w:t>
      </w:r>
      <w:r>
        <w:rPr>
          <w:rFonts w:ascii="メイリオ" w:eastAsia="メイリオ" w:hAnsi="メイリオ" w:cs="メイリオ"/>
          <w:color w:val="CF2E2E"/>
          <w:sz w:val="16"/>
          <w:szCs w:val="16"/>
          <w:rtl w:val="off"/>
        </w:rPr>
        <w:t>償還期間</w:t>
      </w:r>
      <w:r>
        <w:rPr>
          <w:rFonts w:ascii="メイリオ" w:eastAsia="メイリオ" w:hAnsi="メイリオ" w:cs="メイリオ"/>
          <w:sz w:val="16"/>
          <w:szCs w:val="16"/>
          <w:rtl w:val="off"/>
        </w:rPr>
        <w:t>(繰上げ返済をした場合は</w:t>
      </w:r>
      <w:r>
        <w:rPr>
          <w:rFonts w:ascii="メイリオ" w:eastAsia="メイリオ" w:hAnsi="メイリオ" w:cs="メイリオ"/>
          <w:color w:val="CF2E2E"/>
          <w:sz w:val="16"/>
          <w:szCs w:val="16"/>
          <w:rtl w:val="off"/>
        </w:rPr>
        <w:t>当初の契約による最初の償還月</w:t>
      </w:r>
      <w:r>
        <w:rPr>
          <w:rFonts w:ascii="メイリオ" w:eastAsia="メイリオ" w:hAnsi="メイリオ" w:cs="メイリオ"/>
          <w:sz w:val="16"/>
          <w:szCs w:val="16"/>
          <w:rtl w:val="off"/>
        </w:rPr>
        <w:t>から</w:t>
      </w:r>
      <w:r>
        <w:rPr>
          <w:rFonts w:ascii="メイリオ" w:eastAsia="メイリオ" w:hAnsi="メイリオ" w:cs="メイリオ"/>
          <w:color w:val="CF2E2E"/>
          <w:sz w:val="16"/>
          <w:szCs w:val="16"/>
          <w:rtl w:val="off"/>
        </w:rPr>
        <w:t>繰り上げ返済後の最終の償還月</w:t>
      </w:r>
      <w:r>
        <w:rPr>
          <w:rFonts w:ascii="メイリオ" w:eastAsia="メイリオ" w:hAnsi="メイリオ" w:cs="メイリオ"/>
          <w:sz w:val="16"/>
          <w:szCs w:val="16"/>
          <w:rtl w:val="off"/>
        </w:rPr>
        <w:t>までの期間、借換えをした場合は新しい借入金の償還期間)が</w:t>
      </w:r>
      <w:r>
        <w:rPr>
          <w:rFonts w:ascii="メイリオ" w:eastAsia="メイリオ" w:hAnsi="メイリオ" w:cs="メイリオ"/>
          <w:color w:val="CF2E2E"/>
          <w:sz w:val="16"/>
          <w:szCs w:val="16"/>
          <w:rtl w:val="off"/>
        </w:rPr>
        <w:t>１</w:t>
      </w:r>
      <w:r>
        <w:rPr>
          <w:lang w:eastAsia="ja-JP"/>
          <w:rFonts w:ascii="メイリオ" w:eastAsia="メイリオ" w:hAnsi="メイリオ" w:cs="メイリオ"/>
          <w:color w:val="CF2E2E"/>
          <w:sz w:val="16"/>
          <w:szCs w:val="16"/>
          <w:rtl w:val="off"/>
        </w:rPr>
        <w:t>３</w:t>
      </w:r>
      <w:r>
        <w:rPr>
          <w:rFonts w:ascii="メイリオ" w:eastAsia="メイリオ" w:hAnsi="メイリオ" w:cs="メイリオ"/>
          <w:color w:val="CF2E2E"/>
          <w:sz w:val="16"/>
          <w:szCs w:val="16"/>
          <w:rtl w:val="off"/>
        </w:rPr>
        <w:t>年以上</w:t>
      </w:r>
      <w:r>
        <w:rPr>
          <w:lang w:eastAsia="ja-JP"/>
          <w:rFonts w:ascii="メイリオ" w:eastAsia="メイリオ" w:hAnsi="メイリオ" w:cs="メイリオ"/>
          <w:color w:val="CF2E2E"/>
          <w:sz w:val="16"/>
          <w:szCs w:val="16"/>
          <w:rtl w:val="off"/>
        </w:rPr>
        <w:t>(一定</w:t>
      </w:r>
      <w:r>
        <w:rPr>
          <w:lang w:eastAsia="ja-JP"/>
          <w:rFonts w:ascii="メイリオ" w:eastAsia="メイリオ" w:hAnsi="メイリオ" w:cs="メイリオ"/>
          <w:color w:val="CF2E2E"/>
          <w:sz w:val="16"/>
          <w:szCs w:val="16"/>
          <w:rtl w:val="off"/>
        </w:rPr>
        <w:t>の</w:t>
      </w:r>
      <w:r>
        <w:rPr>
          <w:lang w:eastAsia="ja-JP"/>
          <w:rFonts w:ascii="メイリオ" w:eastAsia="メイリオ" w:hAnsi="メイリオ" w:cs="メイリオ"/>
          <w:color w:val="CF2E2E"/>
          <w:sz w:val="16"/>
          <w:szCs w:val="16"/>
          <w:rtl w:val="off"/>
        </w:rPr>
        <w:t>場</w:t>
      </w:r>
      <w:r>
        <w:rPr>
          <w:lang w:eastAsia="ja-JP"/>
          <w:rFonts w:ascii="メイリオ" w:eastAsia="メイリオ" w:hAnsi="メイリオ" w:cs="メイリオ"/>
          <w:color w:val="CF2E2E"/>
          <w:sz w:val="16"/>
          <w:szCs w:val="16"/>
          <w:rtl w:val="off"/>
        </w:rPr>
        <w:t>合１０</w:t>
      </w:r>
      <w:r>
        <w:rPr>
          <w:lang w:eastAsia="ja-JP"/>
          <w:rFonts w:ascii="メイリオ" w:eastAsia="メイリオ" w:hAnsi="メイリオ" w:cs="メイリオ"/>
          <w:color w:val="CF2E2E"/>
          <w:sz w:val="16"/>
          <w:szCs w:val="16"/>
          <w:rtl w:val="off"/>
        </w:rPr>
        <w:t>年)</w:t>
      </w:r>
      <w:r>
        <w:rPr>
          <w:rFonts w:ascii="メイリオ" w:eastAsia="メイリオ" w:hAnsi="メイリオ" w:cs="メイリオ"/>
          <w:sz w:val="16"/>
          <w:szCs w:val="16"/>
          <w:rtl w:val="off"/>
        </w:rPr>
        <w:t>で割賦償還のもの。</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ただし、以下のものは対象外です。</w:t>
      </w:r>
    </w:p>
    <w:p>
      <w:pPr>
        <w:ind w:left="720" w:hanging="360"/>
        <w:numPr>
          <w:ilvl w:val="0"/>
          <w:numId w:val="6"/>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親族からの借入金</w:t>
      </w:r>
    </w:p>
    <w:p>
      <w:pPr>
        <w:ind w:left="720" w:hanging="360"/>
        <w:numPr>
          <w:ilvl w:val="0"/>
          <w:numId w:val="6"/>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役員の勤務先からの借入金</w:t>
      </w:r>
    </w:p>
    <w:p>
      <w:pPr>
        <w:ind w:left="720" w:hanging="360"/>
        <w:numPr>
          <w:ilvl w:val="0"/>
          <w:numId w:val="6"/>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基準金利未満の勤務先からの借入金(年</w:t>
      </w:r>
      <w:r>
        <w:rPr>
          <w:lang w:eastAsia="ja-JP"/>
          <w:rFonts w:ascii="メイリオ" w:eastAsia="メイリオ" w:hAnsi="メイリオ" w:cs="メイリオ"/>
          <w:sz w:val="16"/>
          <w:szCs w:val="16"/>
          <w:rtl w:val="off"/>
        </w:rPr>
        <w:t>0</w:t>
      </w:r>
      <w:r>
        <w:rPr>
          <w:lang w:eastAsia="ja-JP"/>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2</w:t>
      </w:r>
      <w:r>
        <w:rPr>
          <w:rFonts w:ascii="メイリオ" w:eastAsia="メイリオ" w:hAnsi="メイリオ" w:cs="メイリオ"/>
          <w:sz w:val="16"/>
          <w:szCs w:val="16"/>
          <w:rtl w:val="off"/>
        </w:rPr>
        <w:t>％未満のもの)</w:t>
      </w:r>
    </w:p>
    <w:p>
      <w:pPr>
        <w:pStyle w:val="a4"/>
        <w:spacing w:after="40" w:before="80" w:line="240" w:lineRule="auto"/>
        <w:rPr>
          <w:rFonts w:ascii="メイリオ" w:eastAsia="メイリオ" w:hAnsi="メイリオ" w:cs="メイリオ" w:hint="default"/>
        </w:rPr>
      </w:pPr>
      <w:bookmarkStart w:id="11" w:name="_qhhq93qr5p05" w:colFirst="0" w:colLast="0"/>
      <w:bookmarkEnd w:id="11"/>
      <w:r>
        <w:rPr>
          <w:rFonts w:ascii="メイリオ" w:eastAsia="メイリオ" w:hAnsi="メイリオ" w:cs="メイリオ"/>
          <w:sz w:val="16"/>
          <w:szCs w:val="16"/>
          <w:rtl w:val="off"/>
        </w:rPr>
        <w:t>転居後、再入居した場合</w:t>
      </w:r>
    </w:p>
    <w:p>
      <w:pPr>
        <w:rPr>
          <w:lang/>
          <w:rFonts w:ascii="メイリオ" w:eastAsia="メイリオ" w:hAnsi="メイリオ" w:cs="メイリオ"/>
          <w:sz w:val="16"/>
          <w:szCs w:val="16"/>
          <w:rtl w:val="off"/>
        </w:rPr>
      </w:pPr>
      <w:bookmarkStart w:id="12" w:name="_nc0dod15b28k" w:colFirst="0" w:colLast="0"/>
      <w:bookmarkEnd w:id="12"/>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以下の者は、勤務先からの転勤命令等の</w:t>
      </w:r>
      <w:r>
        <w:rPr>
          <w:rFonts w:ascii="メイリオ" w:eastAsia="メイリオ" w:hAnsi="メイリオ" w:cs="メイリオ"/>
          <w:color w:val="CF2E2E"/>
          <w:sz w:val="16"/>
          <w:szCs w:val="16"/>
          <w:rtl w:val="off"/>
        </w:rPr>
        <w:t>やむを得ない事由</w:t>
      </w:r>
      <w:r>
        <w:rPr>
          <w:rFonts w:ascii="メイリオ" w:eastAsia="メイリオ" w:hAnsi="メイリオ" w:cs="メイリオ"/>
          <w:sz w:val="16"/>
          <w:szCs w:val="16"/>
          <w:rtl w:val="off"/>
        </w:rPr>
        <w:t>により居住の用に供しなくなったあと、その事由が解消し再び対象住宅に入居した場合は、一定の要件を満たせば再入居年以後(再</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入居年に賃貸の用に供していた場合にはその翌年以後)の各適用年について、</w:t>
      </w:r>
      <w:r>
        <w:rPr>
          <w:rFonts w:ascii="メイリオ" w:eastAsia="メイリオ" w:hAnsi="メイリオ" w:cs="メイリオ"/>
          <w:color w:val="CF2E2E"/>
          <w:sz w:val="16"/>
          <w:szCs w:val="16"/>
          <w:rtl w:val="off"/>
        </w:rPr>
        <w:t>再適用</w:t>
      </w:r>
      <w:r>
        <w:rPr>
          <w:rFonts w:ascii="メイリオ" w:eastAsia="メイリオ" w:hAnsi="メイリオ" w:cs="メイリオ"/>
          <w:sz w:val="16"/>
          <w:szCs w:val="16"/>
          <w:rtl w:val="off"/>
        </w:rPr>
        <w:t>等を受けることができる。</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住宅借入金等特別控除の適用を受けていた者</w:t>
      </w:r>
    </w:p>
    <w:p>
      <w:pPr>
        <w:ind w:left="720" w:hanging="360"/>
        <w:numPr>
          <w:ilvl w:val="0"/>
          <w:numId w:val="2"/>
        </w:num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住宅借入金等特別控除の適用を受けていないが、２００９年１月１日以後に住宅を取得して居住の用に供した年の１２月３１日までの間に転居した者</w:t>
      </w:r>
    </w:p>
    <w:p>
      <w:pPr>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ただし、住宅借入金等特別控除等の</w:t>
      </w:r>
      <w:r>
        <w:rPr>
          <w:rFonts w:ascii="メイリオ" w:eastAsia="メイリオ" w:hAnsi="メイリオ" w:cs="メイリオ"/>
          <w:color w:val="CF2E2E"/>
          <w:sz w:val="16"/>
          <w:szCs w:val="16"/>
          <w:rtl w:val="off"/>
        </w:rPr>
        <w:t>控除期間は延長されない</w:t>
      </w:r>
      <w:r>
        <w:rPr>
          <w:rFonts w:ascii="メイリオ" w:eastAsia="メイリオ" w:hAnsi="メイリオ" w:cs="メイリオ"/>
          <w:sz w:val="16"/>
          <w:szCs w:val="16"/>
          <w:rtl w:val="off"/>
        </w:rPr>
        <w:t>ため、再適用等は残存控除期間がある場合に限る。</w:t>
      </w:r>
    </w:p>
    <w:p>
      <w:pPr>
        <w:pStyle w:val="a4"/>
        <w:spacing w:after="20" w:before="20" w:line="240" w:lineRule="exact"/>
        <w:rPr>
          <w:rFonts w:ascii="メイリオ" w:eastAsia="メイリオ" w:hAnsi="メイリオ" w:cs="メイリオ" w:hint="default"/>
        </w:rPr>
      </w:pPr>
      <w:r>
        <w:rPr>
          <w:lang w:eastAsia="ja-JP"/>
          <w:rFonts w:ascii="メイリオ" w:eastAsia="メイリオ" w:hAnsi="メイリオ" w:cs="メイリオ"/>
          <w:sz w:val="16"/>
          <w:szCs w:val="16"/>
          <w:rtl w:val="off"/>
        </w:rPr>
        <w:t>一般新築住宅</w:t>
      </w:r>
      <w:r>
        <w:rPr>
          <w:rFonts w:ascii="メイリオ" w:eastAsia="メイリオ" w:hAnsi="メイリオ" w:cs="メイリオ"/>
          <w:sz w:val="16"/>
          <w:szCs w:val="16"/>
          <w:rtl w:val="off"/>
        </w:rPr>
        <w:t>の控除</w:t>
      </w:r>
    </w:p>
    <w:p>
      <w:pPr>
        <w:spacing w:after="0" w:before="0" w:line="240" w:lineRule="auto"/>
        <w:rPr>
          <w:rFonts w:ascii="メイリオ" w:eastAsia="メイリオ" w:hAnsi="メイリオ" w:cs="メイリオ" w:hint="default"/>
          <w:sz w:val="4"/>
          <w:szCs w:val="4"/>
        </w:rPr>
      </w:pPr>
    </w:p>
    <w:tbl>
      <w:tblPr>
        <w:tblStyle w:val="a6"/>
        <w:tblW w:w="6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1869"/>
        <w:gridCol w:w="940"/>
        <w:gridCol w:w="2733"/>
        <w:gridCol w:w="831"/>
      </w:tblGrid>
      <w:tr>
        <w:trPr>
          <w:cantSplit/>
          <w:trHeight w:val="272" w:hRule="atLeast"/>
        </w:trPr>
        <w:tc>
          <w:tcPr>
            <w:tcW w:w="1869"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b/>
                <w:bCs/>
                <w:sz w:val="16"/>
                <w:szCs w:val="16"/>
                <w:rtl w:val="off"/>
              </w:rPr>
              <w:t>居住年</w:t>
            </w:r>
          </w:p>
        </w:tc>
        <w:tc>
          <w:tcPr>
            <w:tcW w:w="940"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控除期間</w:t>
            </w:r>
          </w:p>
        </w:tc>
        <w:tc>
          <w:tcPr>
            <w:tcW w:w="2733"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住宅借入金の年末残高</w:t>
            </w:r>
          </w:p>
        </w:tc>
        <w:tc>
          <w:tcPr>
            <w:tcW w:w="831"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控除率</w:t>
            </w:r>
          </w:p>
        </w:tc>
      </w:tr>
      <w:tr>
        <w:trPr>
          <w:cantSplit/>
          <w:trHeight w:val="272" w:hRule="atLeast"/>
        </w:trPr>
        <w:tc>
          <w:tcPr>
            <w:tcW w:w="1869" w:type="dxa"/>
            <w:tcBorders>
              <w:top w:val="single" w:sz="6" w:space="0" w:color="auto"/>
            </w:tcBorders>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2022～</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0</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3年</w:t>
            </w:r>
          </w:p>
        </w:tc>
        <w:tc>
          <w:tcPr>
            <w:tcW w:w="940"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１</w:t>
            </w: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年間</w:t>
            </w:r>
          </w:p>
        </w:tc>
        <w:tc>
          <w:tcPr>
            <w:tcW w:w="2733"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，０００万円以下の部分</w:t>
            </w:r>
          </w:p>
        </w:tc>
        <w:tc>
          <w:tcPr>
            <w:tcW w:w="831"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0</w:t>
            </w:r>
            <w:r>
              <w:rPr>
                <w:lang w:eastAsia="ja-JP"/>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7</w:t>
            </w:r>
            <w:r>
              <w:rPr>
                <w:rFonts w:ascii="メイリオ" w:eastAsia="メイリオ" w:hAnsi="メイリオ" w:cs="メイリオ"/>
                <w:sz w:val="16"/>
                <w:szCs w:val="16"/>
                <w:rtl w:val="off"/>
              </w:rPr>
              <w:t>％</w:t>
            </w:r>
          </w:p>
        </w:tc>
      </w:tr>
      <w:tr>
        <w:trPr>
          <w:cantSplit/>
          <w:trHeight w:val="272" w:hRule="atLeast"/>
        </w:trPr>
        <w:tc>
          <w:tcPr>
            <w:tcW w:w="1869"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2024～2025年※</w:t>
            </w:r>
          </w:p>
        </w:tc>
        <w:tc>
          <w:tcPr>
            <w:tcW w:w="940"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１０年間</w:t>
            </w:r>
          </w:p>
        </w:tc>
        <w:tc>
          <w:tcPr>
            <w:tcW w:w="2733"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２</w:t>
            </w:r>
            <w:r>
              <w:rPr>
                <w:rFonts w:ascii="メイリオ" w:eastAsia="メイリオ" w:hAnsi="メイリオ" w:cs="メイリオ"/>
                <w:sz w:val="16"/>
                <w:szCs w:val="16"/>
                <w:rtl w:val="off"/>
              </w:rPr>
              <w:t>，０００万円以下の部分</w:t>
            </w:r>
          </w:p>
        </w:tc>
        <w:tc>
          <w:tcPr>
            <w:tcW w:w="831"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0</w:t>
            </w:r>
            <w:r>
              <w:rPr>
                <w:lang w:eastAsia="ja-JP"/>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7</w:t>
            </w:r>
            <w:r>
              <w:rPr>
                <w:rFonts w:ascii="メイリオ" w:eastAsia="メイリオ" w:hAnsi="メイリオ" w:cs="メイリオ"/>
                <w:sz w:val="16"/>
                <w:szCs w:val="16"/>
                <w:rtl w:val="off"/>
              </w:rPr>
              <w:t>％</w:t>
            </w:r>
          </w:p>
        </w:tc>
      </w:tr>
    </w:tbl>
    <w:p>
      <w:pPr>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2023年</w:t>
      </w:r>
      <w:r>
        <w:rPr>
          <w:lang w:eastAsia="ja-JP"/>
          <w:rFonts w:ascii="メイリオ" w:eastAsia="メイリオ" w:hAnsi="メイリオ" w:cs="メイリオ"/>
          <w:sz w:val="16"/>
          <w:szCs w:val="16"/>
          <w:rtl w:val="off"/>
        </w:rPr>
        <w:t>ま</w:t>
      </w:r>
      <w:r>
        <w:rPr>
          <w:lang w:eastAsia="ja-JP"/>
          <w:rFonts w:ascii="メイリオ" w:eastAsia="メイリオ" w:hAnsi="メイリオ" w:cs="メイリオ"/>
          <w:sz w:val="16"/>
          <w:szCs w:val="16"/>
          <w:rtl w:val="off"/>
        </w:rPr>
        <w:t>で</w:t>
      </w:r>
      <w:r>
        <w:rPr>
          <w:lang w:eastAsia="ja-JP"/>
          <w:rFonts w:ascii="メイリオ" w:eastAsia="メイリオ" w:hAnsi="メイリオ" w:cs="メイリオ"/>
          <w:sz w:val="16"/>
          <w:szCs w:val="16"/>
          <w:rtl w:val="off"/>
        </w:rPr>
        <w:t>に建築確認を受</w:t>
      </w:r>
      <w:r>
        <w:rPr>
          <w:lang w:eastAsia="ja-JP"/>
          <w:rFonts w:ascii="メイリオ" w:eastAsia="メイリオ" w:hAnsi="メイリオ" w:cs="メイリオ"/>
          <w:sz w:val="16"/>
          <w:szCs w:val="16"/>
          <w:rtl w:val="off"/>
        </w:rPr>
        <w:t>け</w:t>
      </w:r>
      <w:r>
        <w:rPr>
          <w:lang w:eastAsia="ja-JP"/>
          <w:rFonts w:ascii="メイリオ" w:eastAsia="メイリオ" w:hAnsi="メイリオ" w:cs="メイリオ"/>
          <w:sz w:val="16"/>
          <w:szCs w:val="16"/>
          <w:rtl w:val="off"/>
        </w:rPr>
        <w:t>た新築</w:t>
      </w:r>
      <w:r>
        <w:rPr>
          <w:lang w:eastAsia="ja-JP"/>
          <w:rFonts w:ascii="メイリオ" w:eastAsia="メイリオ" w:hAnsi="メイリオ" w:cs="メイリオ"/>
          <w:sz w:val="16"/>
          <w:szCs w:val="16"/>
          <w:rtl w:val="off"/>
        </w:rPr>
        <w:t>に限</w:t>
      </w:r>
      <w:r>
        <w:rPr>
          <w:lang w:eastAsia="ja-JP"/>
          <w:rFonts w:ascii="メイリオ" w:eastAsia="メイリオ" w:hAnsi="メイリオ" w:cs="メイリオ"/>
          <w:sz w:val="16"/>
          <w:szCs w:val="16"/>
          <w:rtl w:val="off"/>
        </w:rPr>
        <w:t>る。</w:t>
      </w:r>
    </w:p>
    <w:p>
      <w:pPr>
        <w:pStyle w:val="a4"/>
        <w:spacing w:after="20" w:before="20" w:line="240" w:lineRule="exact"/>
        <w:rPr>
          <w:rFonts w:ascii="メイリオ" w:eastAsia="メイリオ" w:hAnsi="メイリオ" w:cs="メイリオ" w:hint="default"/>
        </w:rPr>
      </w:pPr>
      <w:r>
        <w:rPr>
          <w:lang w:eastAsia="ja-JP"/>
          <w:rFonts w:ascii="メイリオ" w:eastAsia="メイリオ" w:hAnsi="メイリオ" w:cs="メイリオ"/>
          <w:sz w:val="16"/>
          <w:szCs w:val="16"/>
          <w:rtl w:val="off"/>
        </w:rPr>
        <w:t>認定住宅(新築)</w:t>
      </w:r>
      <w:r>
        <w:rPr>
          <w:rFonts w:ascii="メイリオ" w:eastAsia="メイリオ" w:hAnsi="メイリオ" w:cs="メイリオ"/>
          <w:sz w:val="16"/>
          <w:szCs w:val="16"/>
          <w:rtl w:val="off"/>
        </w:rPr>
        <w:t>の控除</w:t>
      </w:r>
    </w:p>
    <w:p>
      <w:pPr>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hint="eastAsia"/>
          <w:sz w:val="16"/>
          <w:szCs w:val="16"/>
          <w:rtl w:val="off"/>
        </w:rPr>
        <w:t>　省</w:t>
      </w:r>
      <w:r>
        <w:rPr>
          <w:lang w:eastAsia="ja-JP"/>
          <w:rFonts w:ascii="メイリオ" w:eastAsia="メイリオ" w:hAnsi="メイリオ" w:cs="メイリオ" w:hint="eastAsia"/>
          <w:sz w:val="16"/>
          <w:szCs w:val="16"/>
          <w:rtl w:val="off"/>
        </w:rPr>
        <w:t>エ</w:t>
      </w:r>
      <w:r>
        <w:rPr>
          <w:lang w:eastAsia="ja-JP"/>
          <w:rFonts w:ascii="メイリオ" w:eastAsia="メイリオ" w:hAnsi="メイリオ" w:cs="メイリオ" w:hint="eastAsia"/>
          <w:sz w:val="16"/>
          <w:szCs w:val="16"/>
          <w:rtl w:val="off"/>
        </w:rPr>
        <w:t>ネ</w:t>
      </w:r>
      <w:r>
        <w:rPr>
          <w:lang w:eastAsia="ja-JP"/>
          <w:rFonts w:ascii="メイリオ" w:eastAsia="メイリオ" w:hAnsi="メイリオ" w:cs="メイリオ" w:hint="eastAsia"/>
          <w:sz w:val="16"/>
          <w:szCs w:val="16"/>
          <w:rtl w:val="off"/>
        </w:rPr>
        <w:t>な</w:t>
      </w:r>
      <w:r>
        <w:rPr>
          <w:lang w:eastAsia="ja-JP"/>
          <w:rFonts w:ascii="メイリオ" w:eastAsia="メイリオ" w:hAnsi="メイリオ" w:cs="メイリオ" w:hint="eastAsia"/>
          <w:sz w:val="16"/>
          <w:szCs w:val="16"/>
          <w:rtl w:val="off"/>
        </w:rPr>
        <w:t>ど</w:t>
      </w:r>
      <w:r>
        <w:rPr>
          <w:lang w:eastAsia="ja-JP"/>
          <w:rFonts w:ascii="メイリオ" w:eastAsia="メイリオ" w:hAnsi="メイリオ" w:cs="メイリオ" w:hint="eastAsia"/>
          <w:sz w:val="16"/>
          <w:szCs w:val="16"/>
          <w:rtl w:val="off"/>
        </w:rPr>
        <w:t>の認定住宅</w:t>
      </w:r>
      <w:r>
        <w:rPr>
          <w:lang w:eastAsia="ja-JP"/>
          <w:rFonts w:ascii="メイリオ" w:eastAsia="メイリオ" w:hAnsi="メイリオ" w:cs="メイリオ" w:hint="eastAsia"/>
          <w:sz w:val="16"/>
          <w:szCs w:val="16"/>
          <w:rtl w:val="off"/>
        </w:rPr>
        <w:t>の</w:t>
      </w:r>
      <w:r>
        <w:rPr>
          <w:lang w:eastAsia="ja-JP"/>
          <w:rFonts w:ascii="メイリオ" w:eastAsia="メイリオ" w:hAnsi="メイリオ" w:cs="メイリオ" w:hint="eastAsia"/>
          <w:sz w:val="16"/>
          <w:szCs w:val="16"/>
          <w:rtl w:val="off"/>
        </w:rPr>
        <w:t>場</w:t>
      </w:r>
      <w:r>
        <w:rPr>
          <w:lang w:eastAsia="ja-JP"/>
          <w:rFonts w:ascii="メイリオ" w:eastAsia="メイリオ" w:hAnsi="メイリオ" w:cs="メイリオ" w:hint="eastAsia"/>
          <w:sz w:val="16"/>
          <w:szCs w:val="16"/>
          <w:rtl w:val="off"/>
        </w:rPr>
        <w:t>合、借入限度や控除期間が優遇</w:t>
      </w:r>
      <w:r>
        <w:rPr>
          <w:lang w:eastAsia="ja-JP"/>
          <w:rFonts w:ascii="メイリオ" w:eastAsia="メイリオ" w:hAnsi="メイリオ" w:cs="メイリオ" w:hint="eastAsia"/>
          <w:sz w:val="16"/>
          <w:szCs w:val="16"/>
          <w:rtl w:val="off"/>
        </w:rPr>
        <w:t>さ</w:t>
      </w:r>
      <w:r>
        <w:rPr>
          <w:lang w:eastAsia="ja-JP"/>
          <w:rFonts w:ascii="メイリオ" w:eastAsia="メイリオ" w:hAnsi="メイリオ" w:cs="メイリオ" w:hint="eastAsia"/>
          <w:sz w:val="16"/>
          <w:szCs w:val="16"/>
          <w:rtl w:val="off"/>
        </w:rPr>
        <w:t>れ</w:t>
      </w:r>
      <w:r>
        <w:rPr>
          <w:lang w:eastAsia="ja-JP"/>
          <w:rFonts w:ascii="メイリオ" w:eastAsia="メイリオ" w:hAnsi="メイリオ" w:cs="メイリオ" w:hint="eastAsia"/>
          <w:sz w:val="16"/>
          <w:szCs w:val="16"/>
          <w:rtl w:val="off"/>
        </w:rPr>
        <w:t>る。控除期間</w:t>
      </w:r>
      <w:r>
        <w:rPr>
          <w:lang w:eastAsia="ja-JP"/>
          <w:rFonts w:ascii="メイリオ" w:eastAsia="メイリオ" w:hAnsi="メイリオ" w:cs="メイリオ" w:hint="eastAsia"/>
          <w:sz w:val="16"/>
          <w:szCs w:val="16"/>
          <w:rtl w:val="off"/>
        </w:rPr>
        <w:t>はすべて１３</w:t>
      </w:r>
      <w:r>
        <w:rPr>
          <w:lang w:eastAsia="ja-JP"/>
          <w:rFonts w:ascii="メイリオ" w:eastAsia="メイリオ" w:hAnsi="メイリオ" w:cs="メイリオ" w:hint="eastAsia"/>
          <w:sz w:val="16"/>
          <w:szCs w:val="16"/>
          <w:rtl w:val="off"/>
        </w:rPr>
        <w:t>年。控除率</w:t>
      </w:r>
      <w:r>
        <w:rPr>
          <w:lang w:eastAsia="ja-JP"/>
          <w:rFonts w:ascii="メイリオ" w:eastAsia="メイリオ" w:hAnsi="メイリオ" w:cs="メイリオ" w:hint="eastAsia"/>
          <w:sz w:val="16"/>
          <w:szCs w:val="16"/>
          <w:rtl w:val="off"/>
        </w:rPr>
        <w:t>はすべて0</w:t>
      </w:r>
      <w:r>
        <w:rPr>
          <w:lang w:eastAsia="ja-JP"/>
          <w:rFonts w:ascii="メイリオ" w:eastAsia="メイリオ" w:hAnsi="メイリオ" w:cs="メイリオ" w:hint="eastAsia"/>
          <w:sz w:val="16"/>
          <w:szCs w:val="16"/>
          <w:rtl w:val="off"/>
        </w:rPr>
        <w:t>.</w:t>
      </w:r>
      <w:r>
        <w:rPr>
          <w:lang w:eastAsia="ja-JP"/>
          <w:rFonts w:ascii="メイリオ" w:eastAsia="メイリオ" w:hAnsi="メイリオ" w:cs="メイリオ" w:hint="eastAsia"/>
          <w:sz w:val="16"/>
          <w:szCs w:val="16"/>
          <w:rtl w:val="off"/>
        </w:rPr>
        <w:t>7</w:t>
      </w:r>
      <w:r>
        <w:rPr>
          <w:lang w:eastAsia="ja-JP"/>
          <w:rFonts w:ascii="メイリオ" w:eastAsia="メイリオ" w:hAnsi="メイリオ" w:cs="メイリオ" w:hint="eastAsia"/>
          <w:sz w:val="16"/>
          <w:szCs w:val="16"/>
          <w:rtl w:val="off"/>
        </w:rPr>
        <w:t>％。</w:t>
      </w:r>
    </w:p>
    <w:p>
      <w:pPr>
        <w:pStyle w:val="a7"/>
        <w:spacing w:after="40" w:before="60" w:line="240" w:lineRule="exact"/>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・認定住宅</w:t>
      </w:r>
    </w:p>
    <w:p>
      <w:pPr>
        <w:pStyle w:val="b2"/>
        <w:spacing w:after="40" w:before="60" w:line="240" w:lineRule="auto"/>
        <w:rPr>
          <w:rFonts w:ascii="メイリオ" w:eastAsia="メイリオ" w:hAnsi="メイリオ" w:cs="メイリオ" w:hint="default"/>
          <w:sz w:val="4"/>
          <w:szCs w:val="4"/>
        </w:rPr>
      </w:pPr>
    </w:p>
    <w:tbl>
      <w:tblPr>
        <w:tblStyle w:val="a6"/>
        <w:tblW w:w="6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2660"/>
        <w:gridCol w:w="3891"/>
      </w:tblGrid>
      <w:tr>
        <w:trPr>
          <w:cantSplit/>
          <w:trHeight w:val="272" w:hRule="atLeast"/>
        </w:trPr>
        <w:tc>
          <w:tcPr>
            <w:tcW w:w="2660"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b/>
                <w:bCs/>
                <w:sz w:val="16"/>
                <w:szCs w:val="16"/>
                <w:rtl w:val="off"/>
              </w:rPr>
              <w:t>居住年</w:t>
            </w:r>
          </w:p>
        </w:tc>
        <w:tc>
          <w:tcPr>
            <w:tcW w:w="3891"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住宅借入金の年末残高</w:t>
            </w:r>
          </w:p>
        </w:tc>
      </w:tr>
      <w:tr>
        <w:trPr>
          <w:cantSplit/>
          <w:trHeight w:val="272" w:hRule="atLeast"/>
        </w:trPr>
        <w:tc>
          <w:tcPr>
            <w:tcW w:w="2660" w:type="dxa"/>
            <w:tcBorders>
              <w:top w:val="single" w:sz="6" w:space="0" w:color="auto"/>
            </w:tcBorders>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2022年1月～</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0</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3年12月</w:t>
            </w:r>
          </w:p>
        </w:tc>
        <w:tc>
          <w:tcPr>
            <w:tcW w:w="3891"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５</w:t>
            </w:r>
            <w:r>
              <w:rPr>
                <w:rFonts w:ascii="メイリオ" w:eastAsia="メイリオ" w:hAnsi="メイリオ" w:cs="メイリオ"/>
                <w:sz w:val="16"/>
                <w:szCs w:val="16"/>
                <w:rtl w:val="off"/>
              </w:rPr>
              <w:t>，０００万円以下の部分</w:t>
            </w:r>
          </w:p>
        </w:tc>
      </w:tr>
      <w:tr>
        <w:trPr>
          <w:cantSplit/>
          <w:trHeight w:val="272" w:hRule="atLeast"/>
        </w:trPr>
        <w:tc>
          <w:tcPr>
            <w:tcW w:w="2660"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2024年1月～2025年12月</w:t>
            </w:r>
          </w:p>
        </w:tc>
        <w:tc>
          <w:tcPr>
            <w:tcW w:w="3891"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４</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５</w:t>
            </w:r>
            <w:r>
              <w:rPr>
                <w:rFonts w:ascii="メイリオ" w:eastAsia="メイリオ" w:hAnsi="メイリオ" w:cs="メイリオ"/>
                <w:sz w:val="16"/>
                <w:szCs w:val="16"/>
                <w:rtl w:val="off"/>
              </w:rPr>
              <w:t>００万円以下の部分</w:t>
            </w:r>
          </w:p>
        </w:tc>
      </w:tr>
    </w:tbl>
    <w:p>
      <w:pPr>
        <w:pStyle w:val="a7"/>
        <w:spacing w:after="40" w:before="60" w:line="240" w:lineRule="exact"/>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・ZEH水準省</w:t>
      </w:r>
      <w:r>
        <w:rPr>
          <w:lang w:eastAsia="ja-JP"/>
          <w:rFonts w:ascii="メイリオ" w:eastAsia="メイリオ" w:hAnsi="メイリオ" w:cs="メイリオ"/>
          <w:sz w:val="16"/>
          <w:szCs w:val="16"/>
          <w:rtl w:val="off"/>
        </w:rPr>
        <w:t>エ</w:t>
      </w:r>
      <w:r>
        <w:rPr>
          <w:lang w:eastAsia="ja-JP"/>
          <w:rFonts w:ascii="メイリオ" w:eastAsia="メイリオ" w:hAnsi="メイリオ" w:cs="メイリオ"/>
          <w:sz w:val="16"/>
          <w:szCs w:val="16"/>
          <w:rtl w:val="off"/>
        </w:rPr>
        <w:t>ネ住宅</w:t>
      </w:r>
    </w:p>
    <w:p>
      <w:pPr>
        <w:spacing w:after="0" w:before="0" w:line="240" w:lineRule="auto"/>
        <w:rPr>
          <w:lang w:eastAsia="ja-JP"/>
          <w:rFonts w:ascii="メイリオ" w:eastAsia="メイリオ" w:hAnsi="メイリオ" w:cs="メイリオ" w:hint="eastAsia"/>
          <w:sz w:val="4"/>
          <w:szCs w:val="4"/>
          <w:rtl w:val="off"/>
        </w:rPr>
      </w:pPr>
    </w:p>
    <w:tbl>
      <w:tblPr>
        <w:tblStyle w:val="a6"/>
        <w:tblW w:w="6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2660"/>
        <w:gridCol w:w="3891"/>
      </w:tblGrid>
      <w:tr>
        <w:trPr>
          <w:cantSplit/>
          <w:trHeight w:val="272" w:hRule="atLeast"/>
        </w:trPr>
        <w:tc>
          <w:tcPr>
            <w:tcW w:w="2660"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b/>
                <w:bCs/>
                <w:sz w:val="16"/>
                <w:szCs w:val="16"/>
                <w:rtl w:val="off"/>
              </w:rPr>
              <w:t>居住年</w:t>
            </w:r>
          </w:p>
        </w:tc>
        <w:tc>
          <w:tcPr>
            <w:tcW w:w="3891"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住宅借入金の年末残高</w:t>
            </w:r>
          </w:p>
        </w:tc>
      </w:tr>
      <w:tr>
        <w:trPr>
          <w:cantSplit/>
          <w:trHeight w:val="272" w:hRule="atLeast"/>
        </w:trPr>
        <w:tc>
          <w:tcPr>
            <w:tcW w:w="2660" w:type="dxa"/>
            <w:tcBorders>
              <w:top w:val="single" w:sz="6" w:space="0" w:color="auto"/>
            </w:tcBorders>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2022年1月～</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0</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3年12月</w:t>
            </w:r>
          </w:p>
        </w:tc>
        <w:tc>
          <w:tcPr>
            <w:tcW w:w="3891"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４</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５</w:t>
            </w:r>
            <w:r>
              <w:rPr>
                <w:rFonts w:ascii="メイリオ" w:eastAsia="メイリオ" w:hAnsi="メイリオ" w:cs="メイリオ"/>
                <w:sz w:val="16"/>
                <w:szCs w:val="16"/>
                <w:rtl w:val="off"/>
              </w:rPr>
              <w:t>００万円以下の部分</w:t>
            </w:r>
          </w:p>
        </w:tc>
      </w:tr>
      <w:tr>
        <w:trPr>
          <w:cantSplit/>
          <w:trHeight w:val="272" w:hRule="atLeast"/>
        </w:trPr>
        <w:tc>
          <w:tcPr>
            <w:tcW w:w="2660"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2024年1月～2025年12月</w:t>
            </w:r>
          </w:p>
        </w:tc>
        <w:tc>
          <w:tcPr>
            <w:tcW w:w="3891"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５</w:t>
            </w:r>
            <w:r>
              <w:rPr>
                <w:rFonts w:ascii="メイリオ" w:eastAsia="メイリオ" w:hAnsi="メイリオ" w:cs="メイリオ"/>
                <w:sz w:val="16"/>
                <w:szCs w:val="16"/>
                <w:rtl w:val="off"/>
              </w:rPr>
              <w:t>００万円以下の部分</w:t>
            </w:r>
          </w:p>
        </w:tc>
      </w:tr>
    </w:tbl>
    <w:p>
      <w:pPr>
        <w:pStyle w:val="a7"/>
        <w:spacing w:after="40" w:before="60" w:line="240" w:lineRule="exact"/>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sz w:val="16"/>
          <w:szCs w:val="16"/>
          <w:rtl w:val="off"/>
        </w:rPr>
        <w:t>・ZEH水準省</w:t>
      </w:r>
      <w:r>
        <w:rPr>
          <w:lang w:eastAsia="ja-JP"/>
          <w:rFonts w:ascii="メイリオ" w:eastAsia="メイリオ" w:hAnsi="メイリオ" w:cs="メイリオ"/>
          <w:sz w:val="16"/>
          <w:szCs w:val="16"/>
          <w:rtl w:val="off"/>
        </w:rPr>
        <w:t>エ</w:t>
      </w:r>
      <w:r>
        <w:rPr>
          <w:lang w:eastAsia="ja-JP"/>
          <w:rFonts w:ascii="メイリオ" w:eastAsia="メイリオ" w:hAnsi="メイリオ" w:cs="メイリオ"/>
          <w:sz w:val="16"/>
          <w:szCs w:val="16"/>
          <w:rtl w:val="off"/>
        </w:rPr>
        <w:t>ネ住宅</w:t>
      </w:r>
    </w:p>
    <w:p>
      <w:pPr>
        <w:pStyle w:val="b2"/>
        <w:spacing w:after="40" w:before="60" w:line="240" w:lineRule="auto"/>
        <w:rPr>
          <w:lang w:eastAsia="ja-JP"/>
          <w:rFonts w:ascii="メイリオ" w:eastAsia="メイリオ" w:hAnsi="メイリオ" w:cs="メイリオ" w:hint="eastAsia"/>
          <w:sz w:val="4"/>
          <w:szCs w:val="4"/>
          <w:rtl w:val="off"/>
        </w:rPr>
      </w:pPr>
    </w:p>
    <w:tbl>
      <w:tblPr>
        <w:tblStyle w:val="a6"/>
        <w:tblW w:w="6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2660"/>
        <w:gridCol w:w="3891"/>
      </w:tblGrid>
      <w:tr>
        <w:trPr>
          <w:cantSplit/>
          <w:trHeight w:val="272" w:hRule="atLeast"/>
        </w:trPr>
        <w:tc>
          <w:tcPr>
            <w:tcW w:w="2660"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b/>
                <w:bCs/>
                <w:sz w:val="16"/>
                <w:szCs w:val="16"/>
                <w:rtl w:val="off"/>
              </w:rPr>
              <w:t>居住年</w:t>
            </w:r>
          </w:p>
        </w:tc>
        <w:tc>
          <w:tcPr>
            <w:tcW w:w="3891"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住宅借入金の年末残高</w:t>
            </w:r>
          </w:p>
        </w:tc>
      </w:tr>
      <w:tr>
        <w:trPr>
          <w:cantSplit/>
          <w:trHeight w:val="272" w:hRule="atLeast"/>
        </w:trPr>
        <w:tc>
          <w:tcPr>
            <w:tcW w:w="2660" w:type="dxa"/>
            <w:tcBorders>
              <w:top w:val="single" w:sz="6" w:space="0" w:color="auto"/>
            </w:tcBorders>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2022年1月～</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0</w:t>
            </w:r>
            <w:r>
              <w:rPr>
                <w:lang w:eastAsia="ja-JP"/>
                <w:rFonts w:ascii="メイリオ" w:eastAsia="メイリオ" w:hAnsi="メイリオ" w:cs="メイリオ" w:hint="default"/>
                <w:sz w:val="16"/>
                <w:szCs w:val="16"/>
                <w:rtl w:val="off"/>
              </w:rPr>
              <w:t>2</w:t>
            </w:r>
            <w:r>
              <w:rPr>
                <w:lang w:eastAsia="ja-JP"/>
                <w:rFonts w:ascii="メイリオ" w:eastAsia="メイリオ" w:hAnsi="メイリオ" w:cs="メイリオ" w:hint="default"/>
                <w:sz w:val="16"/>
                <w:szCs w:val="16"/>
                <w:rtl w:val="off"/>
              </w:rPr>
              <w:t>3年12月</w:t>
            </w:r>
          </w:p>
        </w:tc>
        <w:tc>
          <w:tcPr>
            <w:tcW w:w="3891"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４</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０</w:t>
            </w:r>
            <w:r>
              <w:rPr>
                <w:rFonts w:ascii="メイリオ" w:eastAsia="メイリオ" w:hAnsi="メイリオ" w:cs="メイリオ"/>
                <w:sz w:val="16"/>
                <w:szCs w:val="16"/>
                <w:rtl w:val="off"/>
              </w:rPr>
              <w:t>００万円以下の部分</w:t>
            </w:r>
          </w:p>
        </w:tc>
      </w:tr>
      <w:tr>
        <w:trPr>
          <w:cantSplit/>
          <w:trHeight w:val="272" w:hRule="atLeast"/>
        </w:trPr>
        <w:tc>
          <w:tcPr>
            <w:tcW w:w="2660"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hint="default"/>
                <w:sz w:val="16"/>
                <w:szCs w:val="16"/>
                <w:rtl w:val="off"/>
              </w:rPr>
              <w:t>2024年1月～2025年12月</w:t>
            </w:r>
          </w:p>
        </w:tc>
        <w:tc>
          <w:tcPr>
            <w:tcW w:w="3891"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w:t>
            </w:r>
            <w:r>
              <w:rPr>
                <w:lang w:eastAsia="ja-JP"/>
                <w:rFonts w:ascii="メイリオ" w:eastAsia="メイリオ" w:hAnsi="メイリオ" w:cs="メイリオ"/>
                <w:sz w:val="16"/>
                <w:szCs w:val="16"/>
                <w:rtl w:val="off"/>
              </w:rPr>
              <w:t>０</w:t>
            </w:r>
            <w:r>
              <w:rPr>
                <w:rFonts w:ascii="メイリオ" w:eastAsia="メイリオ" w:hAnsi="メイリオ" w:cs="メイリオ"/>
                <w:sz w:val="16"/>
                <w:szCs w:val="16"/>
                <w:rtl w:val="off"/>
              </w:rPr>
              <w:t>００万円以下の部分</w:t>
            </w:r>
          </w:p>
        </w:tc>
      </w:tr>
    </w:tbl>
    <w:p>
      <w:pPr>
        <w:pStyle w:val="a4"/>
        <w:spacing w:after="20" w:before="20" w:line="240" w:lineRule="exact"/>
        <w:rPr>
          <w:rFonts w:ascii="メイリオ" w:eastAsia="メイリオ" w:hAnsi="メイリオ" w:cs="メイリオ" w:hint="default"/>
        </w:rPr>
      </w:pPr>
      <w:r>
        <w:rPr>
          <w:lang w:eastAsia="ja-JP"/>
          <w:rFonts w:ascii="メイリオ" w:eastAsia="メイリオ" w:hAnsi="メイリオ" w:cs="メイリオ"/>
          <w:sz w:val="16"/>
          <w:szCs w:val="16"/>
          <w:rtl w:val="off"/>
        </w:rPr>
        <w:t>中古住宅や増改築</w:t>
      </w:r>
      <w:r>
        <w:rPr>
          <w:rFonts w:ascii="メイリオ" w:eastAsia="メイリオ" w:hAnsi="メイリオ" w:cs="メイリオ"/>
          <w:sz w:val="16"/>
          <w:szCs w:val="16"/>
          <w:rtl w:val="off"/>
        </w:rPr>
        <w:t>の控除</w:t>
      </w:r>
    </w:p>
    <w:p>
      <w:pPr>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hint="eastAsia"/>
          <w:sz w:val="16"/>
          <w:szCs w:val="16"/>
          <w:rtl w:val="off"/>
        </w:rPr>
        <w:t>　●　</w:t>
      </w:r>
      <w:r>
        <w:rPr>
          <w:lang w:eastAsia="ja-JP"/>
          <w:rFonts w:ascii="メイリオ" w:eastAsia="メイリオ" w:hAnsi="メイリオ" w:cs="メイリオ" w:hint="eastAsia"/>
          <w:b/>
          <w:bCs/>
          <w:sz w:val="16"/>
          <w:szCs w:val="16"/>
          <w:rtl w:val="off"/>
        </w:rPr>
        <w:t>一般住宅</w:t>
      </w:r>
      <w:r>
        <w:rPr>
          <w:lang w:eastAsia="ja-JP"/>
          <w:rFonts w:ascii="メイリオ" w:eastAsia="メイリオ" w:hAnsi="メイリオ" w:cs="メイリオ" w:hint="eastAsia"/>
          <w:sz w:val="16"/>
          <w:szCs w:val="16"/>
          <w:rtl w:val="off"/>
        </w:rPr>
        <w:t>：借入限度２，０００</w:t>
      </w:r>
      <w:r>
        <w:rPr>
          <w:lang w:eastAsia="ja-JP"/>
          <w:rFonts w:ascii="メイリオ" w:eastAsia="メイリオ" w:hAnsi="メイリオ" w:cs="メイリオ" w:hint="eastAsia"/>
          <w:sz w:val="16"/>
          <w:szCs w:val="16"/>
          <w:rtl w:val="off"/>
        </w:rPr>
        <w:t>万</w:t>
      </w:r>
      <w:r>
        <w:rPr>
          <w:lang w:eastAsia="ja-JP"/>
          <w:rFonts w:ascii="メイリオ" w:eastAsia="メイリオ" w:hAnsi="メイリオ" w:cs="メイリオ" w:hint="eastAsia"/>
          <w:sz w:val="16"/>
          <w:szCs w:val="16"/>
          <w:rtl w:val="off"/>
        </w:rPr>
        <w:t>円、期間１０</w:t>
      </w:r>
      <w:r>
        <w:rPr>
          <w:lang w:eastAsia="ja-JP"/>
          <w:rFonts w:ascii="メイリオ" w:eastAsia="メイリオ" w:hAnsi="メイリオ" w:cs="メイリオ" w:hint="eastAsia"/>
          <w:sz w:val="16"/>
          <w:szCs w:val="16"/>
          <w:rtl w:val="off"/>
        </w:rPr>
        <w:t>年。控除率0</w:t>
      </w:r>
      <w:r>
        <w:rPr>
          <w:lang w:eastAsia="ja-JP"/>
          <w:rFonts w:ascii="メイリオ" w:eastAsia="メイリオ" w:hAnsi="メイリオ" w:cs="メイリオ" w:hint="eastAsia"/>
          <w:sz w:val="16"/>
          <w:szCs w:val="16"/>
          <w:rtl w:val="off"/>
        </w:rPr>
        <w:t>.</w:t>
      </w:r>
      <w:r>
        <w:rPr>
          <w:lang w:eastAsia="ja-JP"/>
          <w:rFonts w:ascii="メイリオ" w:eastAsia="メイリオ" w:hAnsi="メイリオ" w:cs="メイリオ" w:hint="eastAsia"/>
          <w:sz w:val="16"/>
          <w:szCs w:val="16"/>
          <w:rtl w:val="off"/>
        </w:rPr>
        <w:t>7</w:t>
      </w:r>
      <w:r>
        <w:rPr>
          <w:lang w:eastAsia="ja-JP"/>
          <w:rFonts w:ascii="メイリオ" w:eastAsia="メイリオ" w:hAnsi="メイリオ" w:cs="メイリオ" w:hint="eastAsia"/>
          <w:sz w:val="16"/>
          <w:szCs w:val="16"/>
          <w:rtl w:val="off"/>
        </w:rPr>
        <w:t>％</w:t>
      </w:r>
    </w:p>
    <w:p>
      <w:pPr>
        <w:spacing w:after="0" w:before="0" w:line="240" w:lineRule="auto"/>
        <w:rPr>
          <w:lang w:eastAsia="ja-JP"/>
          <w:rFonts w:ascii="メイリオ" w:eastAsia="メイリオ" w:hAnsi="メイリオ" w:cs="メイリオ" w:hint="eastAsia"/>
          <w:sz w:val="16"/>
          <w:szCs w:val="16"/>
          <w:rtl w:val="off"/>
        </w:rPr>
      </w:pPr>
      <w:r>
        <w:rPr>
          <w:lang w:eastAsia="ja-JP"/>
          <w:rFonts w:ascii="メイリオ" w:eastAsia="メイリオ" w:hAnsi="メイリオ" w:cs="メイリオ" w:hint="default"/>
          <w:sz w:val="16"/>
          <w:szCs w:val="16"/>
          <w:rtl w:val="off"/>
        </w:rPr>
        <w:t>　●　</w:t>
      </w:r>
      <w:r>
        <w:rPr>
          <w:lang w:eastAsia="ja-JP"/>
          <w:rFonts w:ascii="メイリオ" w:eastAsia="メイリオ" w:hAnsi="メイリオ" w:cs="メイリオ" w:hint="default"/>
          <w:b/>
          <w:bCs/>
          <w:sz w:val="16"/>
          <w:szCs w:val="16"/>
          <w:rtl w:val="off"/>
        </w:rPr>
        <w:t>認定住宅</w:t>
      </w:r>
      <w:r>
        <w:rPr>
          <w:lang w:eastAsia="ja-JP"/>
          <w:rFonts w:ascii="メイリオ" w:eastAsia="メイリオ" w:hAnsi="メイリオ" w:cs="メイリオ" w:hint="default"/>
          <w:sz w:val="16"/>
          <w:szCs w:val="16"/>
          <w:rtl w:val="off"/>
        </w:rPr>
        <w:t>：</w:t>
      </w:r>
      <w:r>
        <w:rPr>
          <w:lang w:eastAsia="ja-JP"/>
          <w:rFonts w:ascii="メイリオ" w:eastAsia="メイリオ" w:hAnsi="メイリオ" w:cs="メイリオ" w:hint="eastAsia"/>
          <w:sz w:val="16"/>
          <w:szCs w:val="16"/>
          <w:rtl w:val="off"/>
        </w:rPr>
        <w:t>借入限度３，０００</w:t>
      </w:r>
      <w:r>
        <w:rPr>
          <w:lang w:eastAsia="ja-JP"/>
          <w:rFonts w:ascii="メイリオ" w:eastAsia="メイリオ" w:hAnsi="メイリオ" w:cs="メイリオ" w:hint="eastAsia"/>
          <w:sz w:val="16"/>
          <w:szCs w:val="16"/>
          <w:rtl w:val="off"/>
        </w:rPr>
        <w:t>万</w:t>
      </w:r>
      <w:r>
        <w:rPr>
          <w:lang w:eastAsia="ja-JP"/>
          <w:rFonts w:ascii="メイリオ" w:eastAsia="メイリオ" w:hAnsi="メイリオ" w:cs="メイリオ" w:hint="eastAsia"/>
          <w:sz w:val="16"/>
          <w:szCs w:val="16"/>
          <w:rtl w:val="off"/>
        </w:rPr>
        <w:t>円、期間１０</w:t>
      </w:r>
      <w:r>
        <w:rPr>
          <w:lang w:eastAsia="ja-JP"/>
          <w:rFonts w:ascii="メイリオ" w:eastAsia="メイリオ" w:hAnsi="メイリオ" w:cs="メイリオ" w:hint="eastAsia"/>
          <w:sz w:val="16"/>
          <w:szCs w:val="16"/>
          <w:rtl w:val="off"/>
        </w:rPr>
        <w:t>年。控除率0</w:t>
      </w:r>
      <w:r>
        <w:rPr>
          <w:lang w:eastAsia="ja-JP"/>
          <w:rFonts w:ascii="メイリオ" w:eastAsia="メイリオ" w:hAnsi="メイリオ" w:cs="メイリオ" w:hint="eastAsia"/>
          <w:sz w:val="16"/>
          <w:szCs w:val="16"/>
          <w:rtl w:val="off"/>
        </w:rPr>
        <w:t>.</w:t>
      </w:r>
      <w:r>
        <w:rPr>
          <w:lang w:eastAsia="ja-JP"/>
          <w:rFonts w:ascii="メイリオ" w:eastAsia="メイリオ" w:hAnsi="メイリオ" w:cs="メイリオ" w:hint="eastAsia"/>
          <w:sz w:val="16"/>
          <w:szCs w:val="16"/>
          <w:rtl w:val="off"/>
        </w:rPr>
        <w:t>7</w:t>
      </w:r>
      <w:r>
        <w:rPr>
          <w:lang w:eastAsia="ja-JP"/>
          <w:rFonts w:ascii="メイリオ" w:eastAsia="メイリオ" w:hAnsi="メイリオ" w:cs="メイリオ" w:hint="eastAsia"/>
          <w:sz w:val="16"/>
          <w:szCs w:val="16"/>
          <w:rtl w:val="off"/>
        </w:rPr>
        <w:t>％</w:t>
      </w:r>
    </w:p>
    <w:p>
      <w:pPr>
        <w:rPr>
          <w:lang/>
          <w:rtl w:val="off"/>
        </w:rPr>
      </w:pPr>
    </w:p>
    <w:p>
      <w:pPr>
        <w:pStyle w:val="a4"/>
        <w:spacing w:after="20" w:before="20" w:line="240" w:lineRule="auto"/>
        <w:rPr>
          <w:rFonts w:ascii="メイリオ" w:eastAsia="メイリオ" w:hAnsi="メイリオ" w:cs="メイリオ" w:hint="default"/>
        </w:rPr>
      </w:pPr>
      <w:bookmarkStart w:id="13" w:name="_58rwpcroflys" w:colFirst="0" w:colLast="0"/>
      <w:bookmarkEnd w:id="13"/>
      <w:r>
        <w:rPr>
          <w:rFonts w:ascii="メイリオ" w:eastAsia="メイリオ" w:hAnsi="メイリオ" w:cs="メイリオ"/>
          <w:sz w:val="16"/>
          <w:szCs w:val="16"/>
          <w:rtl w:val="off"/>
        </w:rPr>
        <w:t>住民税からの控除</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住宅借入金等特別控除の適用がある者のうち、その年の所得税から控除しきれない残額がある場合は、翌年度分の個人住民税において、当該残高に相当する額を、次の控除限度額の範囲内で減額する。</w:t>
      </w:r>
    </w:p>
    <w:tbl>
      <w:tblPr>
        <w:tblStyle w:val="a6"/>
        <w:tblW w:w="68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2581"/>
        <w:gridCol w:w="4317"/>
      </w:tblGrid>
      <w:tr>
        <w:trPr>
          <w:cantSplit/>
          <w:trHeight w:val="272" w:hRule="atLeast"/>
        </w:trPr>
        <w:tc>
          <w:tcPr>
            <w:tcW w:w="2581"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居住年</w:t>
            </w:r>
          </w:p>
        </w:tc>
        <w:tc>
          <w:tcPr>
            <w:tcW w:w="4317"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控除限度額</w:t>
            </w:r>
          </w:p>
        </w:tc>
      </w:tr>
      <w:tr>
        <w:trPr>
          <w:cantSplit/>
          <w:trHeight w:val="330" w:hRule="atLeast"/>
        </w:trPr>
        <w:tc>
          <w:tcPr>
            <w:tcW w:w="2581" w:type="dxa"/>
            <w:tcBorders>
              <w:top w:val="single" w:sz="6" w:space="0" w:color="auto"/>
            </w:tcBorders>
            <w:tcMar>
              <w:top w:w="56" w:type="dxa"/>
              <w:left w:w="56" w:type="dxa"/>
              <w:bottom w:w="56" w:type="dxa"/>
              <w:right w:w="56" w:type="dxa"/>
            </w:tcMar>
            <w:vAlign w:val="center"/>
          </w:tcPr>
          <w:p>
            <w:pPr>
              <w:jc w:val="center"/>
              <w:shd w:val="clear" w:color="auto" w:fill="auto"/>
              <w:spacing w:line="240" w:lineRule="exact"/>
              <w:rPr>
                <w:rFonts w:ascii="メイリオ" w:eastAsia="メイリオ" w:hAnsi="メイリオ" w:cs="メイリオ" w:hint="default"/>
                <w:sz w:val="16"/>
                <w:szCs w:val="16"/>
              </w:rPr>
            </w:pPr>
            <w:r>
              <w:rPr>
                <w:lang w:eastAsia="ja-JP"/>
                <w:rFonts w:ascii="メイリオ" w:eastAsia="メイリオ" w:hAnsi="メイリオ" w:cs="メイリオ"/>
                <w:b w:val="0"/>
                <w:i w:val="0"/>
                <w:strike w:val="off"/>
                <w:color w:val="000000"/>
                <w:sz w:val="16"/>
                <w:szCs w:val="16"/>
                <w:dstrike w:val="off"/>
                <w:vertAlign w:val="baseline"/>
                <w:rtl w:val="off"/>
              </w:rPr>
              <w:t>2022</w:t>
            </w:r>
            <w:r>
              <w:rPr>
                <w:rFonts w:ascii="メイリオ" w:eastAsia="メイリオ" w:hAnsi="メイリオ" w:cs="メイリオ"/>
                <w:b w:val="0"/>
                <w:i w:val="0"/>
                <w:strike w:val="off"/>
                <w:color w:val="000000"/>
                <w:sz w:val="16"/>
                <w:szCs w:val="16"/>
                <w:dstrike w:val="off"/>
                <w:vertAlign w:val="baseline"/>
              </w:rPr>
              <w:t>年</w:t>
            </w:r>
            <w:r>
              <w:rPr>
                <w:lang w:eastAsia="ja-JP"/>
                <w:rFonts w:ascii="メイリオ" w:eastAsia="メイリオ" w:hAnsi="メイリオ" w:cs="メイリオ"/>
                <w:b w:val="0"/>
                <w:i w:val="0"/>
                <w:strike w:val="off"/>
                <w:color w:val="000000"/>
                <w:sz w:val="16"/>
                <w:szCs w:val="16"/>
                <w:dstrike w:val="off"/>
                <w:vertAlign w:val="baseline"/>
                <w:rtl w:val="off"/>
              </w:rPr>
              <w:t>1</w:t>
            </w:r>
            <w:r>
              <w:rPr>
                <w:rFonts w:ascii="メイリオ" w:eastAsia="メイリオ" w:hAnsi="メイリオ" w:cs="メイリオ"/>
                <w:b w:val="0"/>
                <w:i w:val="0"/>
                <w:strike w:val="off"/>
                <w:color w:val="000000"/>
                <w:sz w:val="16"/>
                <w:szCs w:val="16"/>
                <w:dstrike w:val="off"/>
                <w:vertAlign w:val="baseline"/>
              </w:rPr>
              <w:t>年～</w:t>
            </w:r>
            <w:r>
              <w:rPr>
                <w:lang w:eastAsia="ja-JP"/>
                <w:rFonts w:ascii="メイリオ" w:eastAsia="メイリオ" w:hAnsi="メイリオ" w:cs="メイリオ"/>
                <w:b w:val="0"/>
                <w:i w:val="0"/>
                <w:strike w:val="off"/>
                <w:color w:val="000000"/>
                <w:sz w:val="16"/>
                <w:szCs w:val="16"/>
                <w:dstrike w:val="off"/>
                <w:vertAlign w:val="baseline"/>
                <w:rtl w:val="off"/>
              </w:rPr>
              <w:t>2025</w:t>
            </w:r>
            <w:r>
              <w:rPr>
                <w:rFonts w:ascii="メイリオ" w:eastAsia="メイリオ" w:hAnsi="メイリオ" w:cs="メイリオ"/>
                <w:b w:val="0"/>
                <w:i w:val="0"/>
                <w:strike w:val="off"/>
                <w:color w:val="000000"/>
                <w:sz w:val="16"/>
                <w:szCs w:val="16"/>
                <w:dstrike w:val="off"/>
                <w:vertAlign w:val="baseline"/>
              </w:rPr>
              <w:t>年</w:t>
            </w:r>
            <w:r>
              <w:rPr>
                <w:lang w:eastAsia="ja-JP"/>
                <w:rFonts w:ascii="メイリオ" w:eastAsia="メイリオ" w:hAnsi="メイリオ" w:cs="メイリオ"/>
                <w:b w:val="0"/>
                <w:i w:val="0"/>
                <w:strike w:val="off"/>
                <w:color w:val="000000"/>
                <w:sz w:val="16"/>
                <w:szCs w:val="16"/>
                <w:dstrike w:val="off"/>
                <w:vertAlign w:val="baseline"/>
                <w:rtl w:val="off"/>
              </w:rPr>
              <w:t>12</w:t>
            </w:r>
            <w:r>
              <w:rPr>
                <w:rFonts w:ascii="メイリオ" w:eastAsia="メイリオ" w:hAnsi="メイリオ" w:cs="メイリオ"/>
                <w:b w:val="0"/>
                <w:i w:val="0"/>
                <w:strike w:val="off"/>
                <w:color w:val="000000"/>
                <w:sz w:val="16"/>
                <w:szCs w:val="16"/>
                <w:dstrike w:val="off"/>
                <w:vertAlign w:val="baseline"/>
              </w:rPr>
              <w:t>月</w:t>
            </w:r>
          </w:p>
        </w:tc>
        <w:tc>
          <w:tcPr>
            <w:tcW w:w="4317"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所得税の課税総所得金額等×</w:t>
            </w:r>
            <w:r>
              <w:rPr>
                <w:lang w:eastAsia="ja-JP"/>
                <w:rFonts w:ascii="メイリオ" w:eastAsia="メイリオ" w:hAnsi="メイリオ" w:cs="メイリオ"/>
                <w:sz w:val="16"/>
                <w:szCs w:val="16"/>
                <w:rtl w:val="off"/>
              </w:rPr>
              <w:t>５</w:t>
            </w:r>
            <w:r>
              <w:rPr>
                <w:rFonts w:ascii="メイリオ" w:eastAsia="メイリオ" w:hAnsi="メイリオ" w:cs="メイリオ"/>
                <w:sz w:val="16"/>
                <w:szCs w:val="16"/>
                <w:rtl w:val="off"/>
              </w:rPr>
              <w:t>％(最高</w:t>
            </w:r>
            <w:r>
              <w:rPr>
                <w:lang w:eastAsia="ja-JP"/>
                <w:rFonts w:ascii="メイリオ" w:eastAsia="メイリオ" w:hAnsi="メイリオ" w:cs="メイリオ"/>
                <w:sz w:val="16"/>
                <w:szCs w:val="16"/>
                <w:rtl w:val="off"/>
              </w:rPr>
              <w:t>9.75</w:t>
            </w:r>
            <w:r>
              <w:rPr>
                <w:rFonts w:ascii="メイリオ" w:eastAsia="メイリオ" w:hAnsi="メイリオ" w:cs="メイリオ"/>
                <w:sz w:val="16"/>
                <w:szCs w:val="16"/>
                <w:rtl w:val="off"/>
              </w:rPr>
              <w:t>万円)</w:t>
            </w:r>
          </w:p>
        </w:tc>
      </w:tr>
    </w:tbl>
    <w:p>
      <w:pPr>
        <w:pStyle w:val="a4"/>
        <w:spacing w:after="20" w:before="40" w:line="240" w:lineRule="auto"/>
        <w:rPr>
          <w:rFonts w:ascii="メイリオ" w:eastAsia="メイリオ" w:hAnsi="メイリオ" w:cs="メイリオ" w:hint="default"/>
          <w:sz w:val="16"/>
          <w:szCs w:val="16"/>
        </w:rPr>
      </w:pPr>
      <w:bookmarkStart w:id="14" w:name="_ph5xzon6jf8e" w:colFirst="0" w:colLast="0"/>
      <w:bookmarkEnd w:id="14"/>
      <w:r>
        <w:rPr>
          <w:rFonts w:ascii="メイリオ" w:eastAsia="メイリオ" w:hAnsi="メイリオ" w:cs="メイリオ"/>
          <w:sz w:val="16"/>
          <w:szCs w:val="16"/>
          <w:rtl w:val="off"/>
        </w:rPr>
        <w:t>住宅耐震</w:t>
      </w:r>
      <w:r>
        <w:rPr>
          <w:lang w:eastAsia="ja-JP"/>
          <w:rFonts w:ascii="メイリオ" w:eastAsia="メイリオ" w:hAnsi="メイリオ" w:cs="メイリオ"/>
          <w:sz w:val="16"/>
          <w:szCs w:val="16"/>
          <w:rtl w:val="off"/>
        </w:rPr>
        <w:t>改修</w:t>
      </w:r>
      <w:r>
        <w:rPr>
          <w:rFonts w:ascii="メイリオ" w:eastAsia="メイリオ" w:hAnsi="メイリオ" w:cs="メイリオ"/>
          <w:sz w:val="16"/>
          <w:szCs w:val="16"/>
          <w:rtl w:val="off"/>
        </w:rPr>
        <w:t>特別税額控除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２０２</w:t>
      </w: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年１２月３１日までの間に、個人が一定の要件を満たす自己居住用家屋の耐震改修をした場合は、その年分の所得税額から以下の算式で計算した金額を控除することができる。住宅耐震改修税額控除と住宅借入金等特別控除は</w:t>
      </w:r>
      <w:r>
        <w:rPr>
          <w:rFonts w:ascii="メイリオ" w:eastAsia="メイリオ" w:hAnsi="メイリオ" w:cs="メイリオ"/>
          <w:color w:val="CF2E2E"/>
          <w:sz w:val="16"/>
          <w:szCs w:val="16"/>
          <w:rtl w:val="off"/>
        </w:rPr>
        <w:t>重複適用</w:t>
      </w:r>
      <w:r>
        <w:rPr>
          <w:rFonts w:ascii="メイリオ" w:eastAsia="メイリオ" w:hAnsi="メイリオ" w:cs="メイリオ"/>
          <w:sz w:val="16"/>
          <w:szCs w:val="16"/>
          <w:rtl w:val="off"/>
        </w:rPr>
        <w:t>を受けることができる。なお、住民税にはこの制度はない。</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shd w:val="clear" w:color="auto" w:fill="8ED1FC"/>
          <w:rtl w:val="off"/>
        </w:rPr>
        <w:t>控除額(最高２５万円)＝耐震改修に係る標準的な工事費用相当額※×１０％</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　補助金等の交付があった場合は、当該補助金等の額を控除した後の金額となる。</w:t>
      </w:r>
    </w:p>
    <w:p>
      <w:pPr>
        <w:pStyle w:val="a4"/>
        <w:spacing w:after="20" w:before="40" w:line="240" w:lineRule="auto"/>
        <w:rPr>
          <w:rFonts w:ascii="メイリオ" w:eastAsia="メイリオ" w:hAnsi="メイリオ" w:cs="メイリオ" w:hint="default"/>
        </w:rPr>
      </w:pPr>
      <w:bookmarkStart w:id="15" w:name="_72fjlj2htb4k" w:colFirst="0" w:colLast="0"/>
      <w:bookmarkEnd w:id="15"/>
      <w:r>
        <w:rPr>
          <w:rFonts w:ascii="メイリオ" w:eastAsia="メイリオ" w:hAnsi="メイリオ" w:cs="メイリオ"/>
          <w:sz w:val="16"/>
          <w:szCs w:val="16"/>
          <w:rtl w:val="off"/>
        </w:rPr>
        <w:t>認定住宅新築等特別税額控除</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２０２</w:t>
      </w:r>
      <w:r>
        <w:rPr>
          <w:lang w:eastAsia="ja-JP"/>
          <w:rFonts w:ascii="メイリオ" w:eastAsia="メイリオ" w:hAnsi="メイリオ" w:cs="メイリオ"/>
          <w:sz w:val="16"/>
          <w:szCs w:val="16"/>
          <w:rtl w:val="off"/>
        </w:rPr>
        <w:t>３</w:t>
      </w:r>
      <w:r>
        <w:rPr>
          <w:rFonts w:ascii="メイリオ" w:eastAsia="メイリオ" w:hAnsi="メイリオ" w:cs="メイリオ"/>
          <w:sz w:val="16"/>
          <w:szCs w:val="16"/>
          <w:rtl w:val="off"/>
        </w:rPr>
        <w:t>年１２月３１日までの間において、個人が認定住宅の新築等をして居住の用に供した場合は、一定の要件のもとに次の算式で計算した金額を所得税額(住民税額からの控除はない)から控除することができる。</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なお、控除額がその年分の所得税額から控除できない控除不足額は、</w:t>
      </w:r>
      <w:r>
        <w:rPr>
          <w:rFonts w:ascii="メイリオ" w:eastAsia="メイリオ" w:hAnsi="メイリオ" w:cs="メイリオ"/>
          <w:color w:val="CF2E2E"/>
          <w:sz w:val="16"/>
          <w:szCs w:val="16"/>
          <w:rtl w:val="off"/>
        </w:rPr>
        <w:t>翌年分の所得税額</w:t>
      </w:r>
      <w:r>
        <w:rPr>
          <w:rFonts w:ascii="メイリオ" w:eastAsia="メイリオ" w:hAnsi="メイリオ" w:cs="メイリオ"/>
          <w:sz w:val="16"/>
          <w:szCs w:val="16"/>
          <w:rtl w:val="off"/>
        </w:rPr>
        <w:t>より控除できる。</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また、住宅借入金等特別控除の認定住宅の特例との</w:t>
      </w:r>
      <w:r>
        <w:rPr>
          <w:rFonts w:ascii="メイリオ" w:eastAsia="メイリオ" w:hAnsi="メイリオ" w:cs="メイリオ"/>
          <w:color w:val="CF2E2E"/>
          <w:sz w:val="16"/>
          <w:szCs w:val="16"/>
          <w:rtl w:val="off"/>
        </w:rPr>
        <w:t>選択適用</w:t>
      </w:r>
      <w:r>
        <w:rPr>
          <w:rFonts w:ascii="メイリオ" w:eastAsia="メイリオ" w:hAnsi="メイリオ" w:cs="メイリオ"/>
          <w:sz w:val="16"/>
          <w:szCs w:val="16"/>
          <w:rtl w:val="off"/>
        </w:rPr>
        <w:t>になる。</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shd w:val="clear" w:color="auto" w:fill="8ED1FC"/>
          <w:rtl w:val="off"/>
        </w:rPr>
        <w:t>控除額(最高６５万円)＝標準的なかかり増し費用×</w:t>
      </w:r>
      <w:r>
        <w:rPr>
          <w:rFonts w:ascii="メイリオ" w:eastAsia="メイリオ" w:hAnsi="メイリオ" w:cs="メイリオ"/>
          <w:color w:val="CF2E2E"/>
          <w:sz w:val="16"/>
          <w:szCs w:val="16"/>
          <w:shd w:val="clear" w:color="auto" w:fill="8ED1FC"/>
          <w:rtl w:val="off"/>
        </w:rPr>
        <w:t>１０％</w:t>
      </w:r>
    </w:p>
    <w:p>
      <w:pPr>
        <w:pStyle w:val="a4"/>
        <w:spacing w:after="0" w:before="80" w:line="240" w:lineRule="auto"/>
        <w:rPr>
          <w:rFonts w:ascii="メイリオ" w:eastAsia="メイリオ" w:hAnsi="メイリオ" w:cs="メイリオ" w:hint="default"/>
        </w:rPr>
      </w:pPr>
      <w:bookmarkStart w:id="16" w:name="_jn0ha34z9d4a" w:colFirst="0" w:colLast="0"/>
      <w:bookmarkEnd w:id="16"/>
      <w:r>
        <w:rPr>
          <w:rFonts w:ascii="メイリオ" w:eastAsia="メイリオ" w:hAnsi="メイリオ" w:cs="メイリオ"/>
          <w:sz w:val="16"/>
          <w:szCs w:val="16"/>
          <w:rtl w:val="off"/>
        </w:rPr>
        <w:t>住宅特定改修特別税額控除</w:t>
      </w:r>
    </w:p>
    <w:p>
      <w:pPr>
        <w:spacing w:after="0" w:before="0" w:line="240" w:lineRule="auto"/>
        <w:rPr>
          <w:rFonts w:ascii="メイリオ" w:eastAsia="メイリオ" w:hAnsi="メイリオ" w:cs="メイリオ" w:hint="default"/>
          <w:sz w:val="16"/>
          <w:szCs w:val="16"/>
        </w:rPr>
      </w:pPr>
      <w:r>
        <w:rPr>
          <w:rFonts w:ascii="メイリオ" w:eastAsia="メイリオ" w:hAnsi="メイリオ" w:cs="メイリオ"/>
          <w:sz w:val="16"/>
          <w:szCs w:val="16"/>
          <w:rtl w:val="off"/>
        </w:rPr>
        <w:t>一定の省エネ改修工事、バリアフリー改修工事または</w:t>
      </w:r>
      <w:r>
        <w:rPr>
          <w:lang w:eastAsia="ja-JP"/>
          <w:rFonts w:ascii="メイリオ" w:eastAsia="メイリオ" w:hAnsi="メイリオ" w:cs="メイリオ"/>
          <w:sz w:val="16"/>
          <w:szCs w:val="16"/>
          <w:rtl w:val="off"/>
        </w:rPr>
        <w:t>三世代</w:t>
      </w:r>
      <w:r>
        <w:rPr>
          <w:rFonts w:ascii="メイリオ" w:eastAsia="メイリオ" w:hAnsi="メイリオ" w:cs="メイリオ"/>
          <w:sz w:val="16"/>
          <w:szCs w:val="16"/>
          <w:rtl w:val="off"/>
        </w:rPr>
        <w:t>同居改修工事を行い居住の用に供した場合は、税額控除を受けることができる。 また、耐震改修工事または省エネ改修工事と併せて行われる一定の</w:t>
      </w:r>
      <w:r>
        <w:rPr>
          <w:rFonts w:ascii="メイリオ" w:eastAsia="メイリオ" w:hAnsi="メイリオ" w:cs="メイリオ"/>
          <w:color w:val="CF2E2E"/>
          <w:sz w:val="16"/>
          <w:szCs w:val="16"/>
          <w:rtl w:val="off"/>
        </w:rPr>
        <w:t>耐久性向上改修工事</w:t>
      </w:r>
      <w:r>
        <w:rPr>
          <w:rFonts w:ascii="メイリオ" w:eastAsia="メイリオ" w:hAnsi="メイリオ" w:cs="メイリオ"/>
          <w:sz w:val="16"/>
          <w:szCs w:val="16"/>
          <w:rtl w:val="off"/>
        </w:rPr>
        <w:t>も対象となる。</w:t>
      </w:r>
    </w:p>
    <w:p>
      <w:pPr>
        <w:spacing w:after="0" w:before="0" w:line="240" w:lineRule="auto"/>
        <w:rPr>
          <w:rFonts w:ascii="メイリオ" w:eastAsia="メイリオ" w:hAnsi="メイリオ" w:cs="メイリオ" w:hint="default"/>
          <w:color w:val="CF2E2E"/>
          <w:sz w:val="16"/>
          <w:szCs w:val="16"/>
          <w:shd w:val="clear" w:color="auto" w:fill="8ED1FC"/>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shd w:val="clear" w:color="auto" w:fill="8ED1FC"/>
          <w:rtl w:val="off"/>
        </w:rPr>
        <w:t>控除額(最高２５万円※¹)＝特定の改修工事に係る標準的な工事費用相当額※²×</w:t>
      </w:r>
      <w:r>
        <w:rPr>
          <w:rFonts w:ascii="メイリオ" w:eastAsia="メイリオ" w:hAnsi="メイリオ" w:cs="メイリオ"/>
          <w:color w:val="CF2E2E"/>
          <w:sz w:val="16"/>
          <w:szCs w:val="16"/>
          <w:shd w:val="clear" w:color="auto" w:fill="8ED1FC"/>
          <w:rtl w:val="off"/>
        </w:rPr>
        <w:t>１０％</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※¹　耐震改修工事＋省エネ改修工事＋</w:t>
      </w:r>
      <w:r>
        <w:rPr>
          <w:rFonts w:ascii="メイリオ" w:eastAsia="メイリオ" w:hAnsi="メイリオ" w:cs="メイリオ"/>
          <w:color w:val="CF2E2E"/>
          <w:sz w:val="16"/>
          <w:szCs w:val="16"/>
          <w:rtl w:val="off"/>
        </w:rPr>
        <w:t>耐久性向上改修工事</w:t>
      </w:r>
      <w:r>
        <w:rPr>
          <w:rFonts w:ascii="メイリオ" w:eastAsia="メイリオ" w:hAnsi="メイリオ" w:cs="メイリオ"/>
          <w:sz w:val="16"/>
          <w:szCs w:val="16"/>
          <w:rtl w:val="off"/>
        </w:rPr>
        <w:t>を行った場合は、最高</w:t>
      </w:r>
      <w:r>
        <w:rPr>
          <w:rFonts w:ascii="メイリオ" w:eastAsia="メイリオ" w:hAnsi="メイリオ" w:cs="メイリオ"/>
          <w:color w:val="CF2E2E"/>
          <w:sz w:val="16"/>
          <w:szCs w:val="16"/>
          <w:rtl w:val="off"/>
        </w:rPr>
        <w:t>５０万円</w:t>
      </w:r>
      <w:r>
        <w:rPr>
          <w:rFonts w:ascii="メイリオ" w:eastAsia="メイリオ" w:hAnsi="メイリオ" w:cs="メイリオ"/>
          <w:sz w:val="16"/>
          <w:szCs w:val="16"/>
          <w:rtl w:val="off"/>
        </w:rPr>
        <w:t>。省エネ改修工事に太陽光発電設備を含む場合は</w:t>
      </w:r>
      <w:r>
        <w:rPr>
          <w:lang w:eastAsia="ja-JP"/>
          <w:rFonts w:ascii="メイリオ" w:eastAsia="メイリオ" w:hAnsi="メイリオ" w:cs="メイリオ"/>
          <w:sz w:val="16"/>
          <w:szCs w:val="16"/>
          <w:rtl w:val="off"/>
        </w:rPr>
        <w:t>さらに</w:t>
      </w:r>
      <w:r>
        <w:rPr>
          <w:rFonts w:ascii="メイリオ" w:eastAsia="メイリオ" w:hAnsi="メイリオ" w:cs="メイリオ"/>
          <w:sz w:val="16"/>
          <w:szCs w:val="16"/>
          <w:rtl w:val="off"/>
        </w:rPr>
        <w:t>１０万円上乗せされる</w:t>
      </w:r>
      <w:r>
        <w:rPr>
          <w:lang w:eastAsia="ja-JP"/>
          <w:rFonts w:ascii="メイリオ" w:eastAsia="メイリオ" w:hAnsi="メイリオ" w:cs="メイリオ"/>
          <w:sz w:val="16"/>
          <w:szCs w:val="16"/>
          <w:rtl w:val="off"/>
        </w:rPr>
        <w:t>(合計</w:t>
      </w:r>
      <w:r>
        <w:rPr>
          <w:lang w:eastAsia="ja-JP"/>
          <w:rFonts w:ascii="メイリオ" w:eastAsia="メイリオ" w:hAnsi="メイリオ" w:cs="メイリオ"/>
          <w:color w:val="C0504D"/>
          <w:sz w:val="16"/>
          <w:szCs w:val="16"/>
          <w:rtl w:val="off"/>
        </w:rPr>
        <w:t>６０</w:t>
      </w:r>
      <w:r>
        <w:rPr>
          <w:lang w:eastAsia="ja-JP"/>
          <w:rFonts w:ascii="メイリオ" w:eastAsia="メイリオ" w:hAnsi="メイリオ" w:cs="メイリオ"/>
          <w:color w:val="C0504D"/>
          <w:sz w:val="16"/>
          <w:szCs w:val="16"/>
          <w:rtl w:val="off"/>
        </w:rPr>
        <w:t>万</w:t>
      </w:r>
      <w:r>
        <w:rPr>
          <w:lang w:eastAsia="ja-JP"/>
          <w:rFonts w:ascii="メイリオ" w:eastAsia="メイリオ" w:hAnsi="メイリオ" w:cs="メイリオ"/>
          <w:color w:val="C0504D"/>
          <w:sz w:val="16"/>
          <w:szCs w:val="16"/>
          <w:rtl w:val="off"/>
        </w:rPr>
        <w:t>円</w:t>
      </w:r>
      <w:r>
        <w:rPr>
          <w:lang w:eastAsia="ja-JP"/>
          <w:rFonts w:ascii="メイリオ" w:eastAsia="メイリオ" w:hAnsi="メイリオ" w:cs="メイリオ"/>
          <w:sz w:val="16"/>
          <w:szCs w:val="16"/>
          <w:rtl w:val="off"/>
        </w:rPr>
        <w:t>)</w:t>
      </w:r>
      <w:r>
        <w:rPr>
          <w:rFonts w:ascii="メイリオ" w:eastAsia="メイリオ" w:hAnsi="メイリオ" w:cs="メイリオ"/>
          <w:sz w:val="16"/>
          <w:szCs w:val="16"/>
          <w:rtl w:val="off"/>
        </w:rPr>
        <w:t>。またバリアフリー改修工事のみの場合は最高２０万円とされる。</w:t>
      </w:r>
      <w:r>
        <w:rPr>
          <w:rFonts w:ascii="メイリオ" w:eastAsia="メイリオ" w:hAnsi="メイリオ" w:cs="メイリオ"/>
          <w:sz w:val="16"/>
          <w:szCs w:val="16"/>
          <w:rtl w:val="off"/>
        </w:rPr>
        <w:br/>
      </w: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※²　補助金等の交付があった場合は、当該補助金等の額を控除した後の金額</w:t>
      </w:r>
    </w:p>
    <w:p>
      <w:pPr>
        <w:spacing w:after="0" w:before="0" w:line="240" w:lineRule="auto"/>
        <w:rPr>
          <w:lang/>
          <w:rFonts w:ascii="メイリオ" w:eastAsia="メイリオ" w:hAnsi="メイリオ" w:cs="メイリオ"/>
          <w:sz w:val="16"/>
          <w:szCs w:val="16"/>
          <w:rtl w:val="off"/>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なお、その年の</w:t>
      </w:r>
      <w:r>
        <w:rPr>
          <w:rFonts w:ascii="メイリオ" w:eastAsia="メイリオ" w:hAnsi="メイリオ" w:cs="メイリオ"/>
          <w:color w:val="CF2E2E"/>
          <w:sz w:val="16"/>
          <w:szCs w:val="16"/>
          <w:rtl w:val="off"/>
        </w:rPr>
        <w:t>合計所得金額</w:t>
      </w:r>
      <w:r>
        <w:rPr>
          <w:rFonts w:ascii="メイリオ" w:eastAsia="メイリオ" w:hAnsi="メイリオ" w:cs="メイリオ"/>
          <w:color w:val="CF2E2E"/>
          <w:sz w:val="16"/>
          <w:szCs w:val="16"/>
          <w:rtl w:val="off"/>
        </w:rPr>
        <w:t>が</w:t>
      </w:r>
      <w:r>
        <w:rPr>
          <w:lang w:eastAsia="ja-JP"/>
          <w:rFonts w:ascii="メイリオ" w:eastAsia="メイリオ" w:hAnsi="メイリオ" w:cs="メイリオ"/>
          <w:color w:val="CF2E2E"/>
          <w:sz w:val="16"/>
          <w:szCs w:val="16"/>
          <w:rtl w:val="off"/>
        </w:rPr>
        <w:t>3</w:t>
      </w:r>
      <w:r>
        <w:rPr>
          <w:lang w:eastAsia="ja-JP"/>
          <w:rFonts w:ascii="メイリオ" w:eastAsia="メイリオ" w:hAnsi="メイリオ" w:cs="メイリオ"/>
          <w:color w:val="CF2E2E"/>
          <w:sz w:val="16"/>
          <w:szCs w:val="16"/>
          <w:rtl w:val="off"/>
        </w:rPr>
        <w:t>,</w:t>
      </w:r>
      <w:r>
        <w:rPr>
          <w:lang w:eastAsia="ja-JP"/>
          <w:rFonts w:ascii="メイリオ" w:eastAsia="メイリオ" w:hAnsi="メイリオ" w:cs="メイリオ"/>
          <w:color w:val="CF2E2E"/>
          <w:sz w:val="16"/>
          <w:szCs w:val="16"/>
          <w:rtl w:val="off"/>
        </w:rPr>
        <w:t>0</w:t>
      </w:r>
      <w:r>
        <w:rPr>
          <w:lang w:eastAsia="ja-JP"/>
          <w:rFonts w:ascii="メイリオ" w:eastAsia="メイリオ" w:hAnsi="メイリオ" w:cs="メイリオ"/>
          <w:color w:val="CF2E2E"/>
          <w:sz w:val="16"/>
          <w:szCs w:val="16"/>
          <w:rtl w:val="off"/>
        </w:rPr>
        <w:t>0</w:t>
      </w:r>
      <w:r>
        <w:rPr>
          <w:lang w:eastAsia="ja-JP"/>
          <w:rFonts w:ascii="メイリオ" w:eastAsia="メイリオ" w:hAnsi="メイリオ" w:cs="メイリオ"/>
          <w:color w:val="CF2E2E"/>
          <w:sz w:val="16"/>
          <w:szCs w:val="16"/>
          <w:rtl w:val="off"/>
        </w:rPr>
        <w:t>0</w:t>
      </w:r>
      <w:r>
        <w:rPr>
          <w:rFonts w:ascii="メイリオ" w:eastAsia="メイリオ" w:hAnsi="メイリオ" w:cs="メイリオ"/>
          <w:color w:val="CF2E2E"/>
          <w:sz w:val="16"/>
          <w:szCs w:val="16"/>
          <w:rtl w:val="off"/>
        </w:rPr>
        <w:t>万円を超える</w:t>
      </w:r>
      <w:r>
        <w:rPr>
          <w:rFonts w:ascii="メイリオ" w:eastAsia="メイリオ" w:hAnsi="メイリオ" w:cs="メイリオ"/>
          <w:sz w:val="16"/>
          <w:szCs w:val="16"/>
          <w:rtl w:val="off"/>
        </w:rPr>
        <w:t>場合には適用を受けることはできない。住宅借入金特別控除および特定改築等住宅借入金等特別控除との</w:t>
      </w:r>
      <w:r>
        <w:rPr>
          <w:rFonts w:ascii="メイリオ" w:eastAsia="メイリオ" w:hAnsi="メイリオ" w:cs="メイリオ"/>
          <w:color w:val="CF2E2E"/>
          <w:sz w:val="16"/>
          <w:szCs w:val="16"/>
          <w:rtl w:val="off"/>
        </w:rPr>
        <w:t>選択適用</w:t>
      </w:r>
      <w:r>
        <w:rPr>
          <w:rFonts w:ascii="メイリオ" w:eastAsia="メイリオ" w:hAnsi="メイリオ" w:cs="メイリオ"/>
          <w:sz w:val="16"/>
          <w:szCs w:val="16"/>
          <w:rtl w:val="off"/>
        </w:rPr>
        <w:t>となる。</w:t>
      </w:r>
    </w:p>
    <w:p>
      <w:pPr>
        <w:pStyle w:val="a4"/>
        <w:spacing w:after="0" w:before="0" w:line="240" w:lineRule="auto"/>
        <w:rPr>
          <w:rFonts w:ascii="メイリオ" w:eastAsia="メイリオ" w:hAnsi="メイリオ" w:cs="メイリオ" w:hint="default"/>
        </w:rPr>
      </w:pPr>
      <w:bookmarkStart w:id="17" w:name="_qqxo6zluyi5n" w:colFirst="0" w:colLast="0"/>
      <w:bookmarkEnd w:id="17"/>
      <w:r>
        <w:rPr>
          <w:rFonts w:ascii="メイリオ" w:eastAsia="メイリオ" w:hAnsi="メイリオ" w:cs="メイリオ"/>
          <w:sz w:val="16"/>
          <w:szCs w:val="16"/>
          <w:rtl w:val="off"/>
        </w:rPr>
        <w:t>災害減免法による減免措置</w:t>
      </w:r>
    </w:p>
    <w:p>
      <w:pPr>
        <w:spacing w:after="0" w:before="0" w:line="240" w:lineRule="auto"/>
        <w:rPr>
          <w:rFonts w:ascii="メイリオ" w:eastAsia="メイリオ" w:hAnsi="メイリオ" w:cs="メイリオ" w:hint="default"/>
          <w:sz w:val="16"/>
          <w:szCs w:val="16"/>
        </w:rPr>
      </w:pPr>
      <w:r>
        <w:rPr>
          <w:lang w:eastAsia="ja-JP"/>
          <w:rFonts w:ascii="メイリオ" w:eastAsia="メイリオ" w:hAnsi="メイリオ" w:cs="メイリオ"/>
          <w:sz w:val="16"/>
          <w:szCs w:val="16"/>
          <w:rtl w:val="off"/>
        </w:rPr>
        <w:t>　</w:t>
      </w:r>
      <w:r>
        <w:rPr>
          <w:rFonts w:ascii="メイリオ" w:eastAsia="メイリオ" w:hAnsi="メイリオ" w:cs="メイリオ"/>
          <w:sz w:val="16"/>
          <w:szCs w:val="16"/>
          <w:rtl w:val="off"/>
        </w:rPr>
        <w:t>納税者または納税者と生計を一にする配偶者、その他の親族(総所得金額等が４８万円以下の者)が、震災、風水害、火災などの災害により、所有する住宅や家財について損害を受けたときは、その損害金額(</w:t>
      </w:r>
      <w:r>
        <w:rPr>
          <w:rFonts w:ascii="メイリオ" w:eastAsia="メイリオ" w:hAnsi="メイリオ" w:cs="メイリオ"/>
          <w:color w:val="CF2E2E"/>
          <w:sz w:val="16"/>
          <w:szCs w:val="16"/>
          <w:rtl w:val="off"/>
        </w:rPr>
        <w:t>保険金等で補填された金額をのぞく</w:t>
      </w:r>
      <w:r>
        <w:rPr>
          <w:rFonts w:ascii="メイリオ" w:eastAsia="メイリオ" w:hAnsi="メイリオ" w:cs="メイリオ"/>
          <w:sz w:val="16"/>
          <w:szCs w:val="16"/>
          <w:rtl w:val="off"/>
        </w:rPr>
        <w:t>)が住宅や家財の価額の</w:t>
      </w:r>
      <w:r>
        <w:rPr>
          <w:rFonts w:ascii="メイリオ" w:eastAsia="メイリオ" w:hAnsi="メイリオ" w:cs="メイリオ"/>
          <w:color w:val="CF2E2E"/>
          <w:sz w:val="16"/>
          <w:szCs w:val="16"/>
          <w:rtl w:val="off"/>
        </w:rPr>
        <w:t>５０％以上</w:t>
      </w:r>
      <w:r>
        <w:rPr>
          <w:rFonts w:ascii="メイリオ" w:eastAsia="メイリオ" w:hAnsi="メイリオ" w:cs="メイリオ"/>
          <w:sz w:val="16"/>
          <w:szCs w:val="16"/>
          <w:rtl w:val="off"/>
        </w:rPr>
        <w:t>で</w:t>
      </w:r>
      <w:r>
        <w:rPr>
          <w:lang w:eastAsia="ja-JP"/>
          <w:rFonts w:ascii="メイリオ" w:eastAsia="メイリオ" w:hAnsi="メイリオ" w:cs="メイリオ"/>
          <w:sz w:val="16"/>
          <w:szCs w:val="16"/>
          <w:rtl w:val="off"/>
        </w:rPr>
        <w:t>あって</w:t>
      </w:r>
      <w:r>
        <w:rPr>
          <w:rFonts w:ascii="メイリオ" w:eastAsia="メイリオ" w:hAnsi="メイリオ" w:cs="メイリオ"/>
          <w:sz w:val="16"/>
          <w:szCs w:val="16"/>
          <w:rtl w:val="off"/>
        </w:rPr>
        <w:t>、その年分の災害減免法の合計所得金額(分離課税の譲渡所得の特別控除後)が</w:t>
      </w:r>
      <w:r>
        <w:rPr>
          <w:rFonts w:ascii="メイリオ" w:eastAsia="メイリオ" w:hAnsi="メイリオ" w:cs="メイリオ"/>
          <w:color w:val="CF2E2E"/>
          <w:sz w:val="16"/>
          <w:szCs w:val="16"/>
          <w:rtl w:val="off"/>
        </w:rPr>
        <w:t>１，０００万円以下</w:t>
      </w:r>
      <w:r>
        <w:rPr>
          <w:rFonts w:ascii="メイリオ" w:eastAsia="メイリオ" w:hAnsi="メイリオ" w:cs="メイリオ"/>
          <w:sz w:val="16"/>
          <w:szCs w:val="16"/>
          <w:rtl w:val="off"/>
        </w:rPr>
        <w:t>で、かつ、その災害について</w:t>
      </w:r>
      <w:r>
        <w:rPr>
          <w:rFonts w:ascii="メイリオ" w:eastAsia="メイリオ" w:hAnsi="メイリオ" w:cs="メイリオ"/>
          <w:color w:val="CF2E2E"/>
          <w:sz w:val="16"/>
          <w:szCs w:val="16"/>
          <w:rtl w:val="off"/>
        </w:rPr>
        <w:t>雑損控除</w:t>
      </w:r>
      <w:r>
        <w:rPr>
          <w:rFonts w:ascii="メイリオ" w:eastAsia="メイリオ" w:hAnsi="メイリオ" w:cs="メイリオ"/>
          <w:sz w:val="16"/>
          <w:szCs w:val="16"/>
          <w:rtl w:val="off"/>
        </w:rPr>
        <w:t>の適用を受けなかった場合に限り、災害減免法により次の割合の所得税額(税額控除後)が減免される。</w:t>
      </w:r>
    </w:p>
    <w:tbl>
      <w:tblPr>
        <w:tblStyle w:val="a6"/>
        <w:tblW w:w="6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jc w:val="center"/>
        <w:tblLayout w:type="fixed"/>
        <w:tblCellMar>
          <w:top w:w="56" w:type="dxa"/>
          <w:left w:w="56" w:type="dxa"/>
          <w:bottom w:w="56" w:type="dxa"/>
          <w:right w:w="56" w:type="dxa"/>
        </w:tblCellMar>
      </w:tblPr>
      <w:tblGrid>
        <w:gridCol w:w="4092"/>
        <w:gridCol w:w="2282"/>
      </w:tblGrid>
      <w:tr>
        <w:trPr>
          <w:cantSplit/>
          <w:trHeight w:val="272" w:hRule="atLeast"/>
        </w:trPr>
        <w:tc>
          <w:tcPr>
            <w:tcW w:w="4092"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災害減免法の合計所得金額</w:t>
            </w:r>
          </w:p>
        </w:tc>
        <w:tc>
          <w:tcPr>
            <w:tcW w:w="2282" w:type="dxa"/>
            <w:tcBorders>
              <w:top w:val="single" w:sz="6" w:space="0" w:color="auto"/>
              <w:left w:val="single" w:sz="6" w:space="0" w:color="auto"/>
              <w:bottom w:val="single" w:sz="6" w:space="0" w:color="auto"/>
              <w:right w:val="single" w:sz="6" w:space="0" w:color="auto"/>
            </w:tcBorders>
            <w:shd w:val="clear" w:color="auto" w:fill="DFE6F7"/>
            <w:tcMar>
              <w:top w:w="56" w:type="dxa"/>
              <w:left w:w="56" w:type="dxa"/>
              <w:bottom w:w="56" w:type="dxa"/>
              <w:right w:w="56" w:type="dxa"/>
            </w:tcMar>
            <w:vAlign w:val="center"/>
          </w:tcPr>
          <w:p>
            <w:pPr>
              <w:jc w:val="cente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b/>
                <w:sz w:val="16"/>
                <w:szCs w:val="16"/>
                <w:rtl w:val="off"/>
              </w:rPr>
              <w:t>減免額</w:t>
            </w:r>
          </w:p>
        </w:tc>
      </w:tr>
      <w:tr>
        <w:trPr>
          <w:cantSplit/>
          <w:trHeight w:val="272" w:hRule="atLeast"/>
        </w:trPr>
        <w:tc>
          <w:tcPr>
            <w:tcW w:w="4092" w:type="dxa"/>
            <w:tcBorders>
              <w:top w:val="single" w:sz="6" w:space="0" w:color="auto"/>
            </w:tcBorders>
            <w:tcMar>
              <w:top w:w="56" w:type="dxa"/>
              <w:left w:w="56" w:type="dxa"/>
              <w:bottom w:w="56" w:type="dxa"/>
              <w:right w:w="56" w:type="dxa"/>
            </w:tcMar>
            <w:vAlign w:val="center"/>
          </w:tcPr>
          <w:p>
            <w:pPr>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５００万円以下</w:t>
            </w:r>
          </w:p>
        </w:tc>
        <w:tc>
          <w:tcPr>
            <w:tcW w:w="2282" w:type="dxa"/>
            <w:tcBorders>
              <w:top w:val="single" w:sz="6" w:space="0" w:color="auto"/>
            </w:tcBorders>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color w:val="CF2E2E"/>
                <w:sz w:val="16"/>
                <w:szCs w:val="16"/>
                <w:rtl w:val="off"/>
              </w:rPr>
              <w:t>全額</w:t>
            </w:r>
          </w:p>
        </w:tc>
      </w:tr>
      <w:tr>
        <w:trPr>
          <w:cantSplit/>
          <w:trHeight w:val="272" w:hRule="atLeast"/>
        </w:trPr>
        <w:tc>
          <w:tcPr>
            <w:tcW w:w="4092" w:type="dxa"/>
            <w:tcMar>
              <w:top w:w="56" w:type="dxa"/>
              <w:left w:w="56" w:type="dxa"/>
              <w:bottom w:w="56" w:type="dxa"/>
              <w:right w:w="56" w:type="dxa"/>
            </w:tcMar>
            <w:vAlign w:val="center"/>
          </w:tcPr>
          <w:p>
            <w:pPr>
              <w:ind w:left="0" w:right="0" w:firstLine="0"/>
              <w:keepNext w:val="off"/>
              <w:keepLines w:val="off"/>
              <w:pageBreakBefore w:val="off"/>
              <w:widowControl w:val="off"/>
              <w:jc w:val="left"/>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５００万円超～７５０万円以下</w:t>
            </w:r>
          </w:p>
        </w:tc>
        <w:tc>
          <w:tcPr>
            <w:tcW w:w="2282"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color w:val="CF2E2E"/>
                <w:sz w:val="16"/>
                <w:szCs w:val="16"/>
                <w:rtl w:val="off"/>
              </w:rPr>
              <w:t>５０％</w:t>
            </w:r>
            <w:r>
              <w:rPr>
                <w:rFonts w:ascii="メイリオ" w:eastAsia="メイリオ" w:hAnsi="メイリオ" w:cs="メイリオ"/>
                <w:sz w:val="16"/>
                <w:szCs w:val="16"/>
                <w:rtl w:val="off"/>
              </w:rPr>
              <w:t>相当額</w:t>
            </w:r>
          </w:p>
        </w:tc>
      </w:tr>
      <w:tr>
        <w:trPr>
          <w:cantSplit/>
          <w:trHeight w:val="272" w:hRule="atLeast"/>
        </w:trPr>
        <w:tc>
          <w:tcPr>
            <w:tcW w:w="4092" w:type="dxa"/>
            <w:tcMar>
              <w:top w:w="56" w:type="dxa"/>
              <w:left w:w="56" w:type="dxa"/>
              <w:bottom w:w="56" w:type="dxa"/>
              <w:right w:w="56" w:type="dxa"/>
            </w:tcMar>
            <w:vAlign w:val="center"/>
          </w:tcPr>
          <w:p>
            <w:pPr>
              <w:ind w:left="0" w:right="0" w:firstLine="0"/>
              <w:keepNext w:val="off"/>
              <w:keepLines w:val="off"/>
              <w:pageBreakBefore w:val="off"/>
              <w:widowControl w:val="off"/>
              <w:jc w:val="left"/>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sz w:val="16"/>
                <w:szCs w:val="16"/>
                <w:rtl w:val="off"/>
              </w:rPr>
              <w:t>７５０万円超～１，０００万円以下</w:t>
            </w:r>
          </w:p>
        </w:tc>
        <w:tc>
          <w:tcPr>
            <w:tcW w:w="2282" w:type="dxa"/>
            <w:tcMar>
              <w:top w:w="56" w:type="dxa"/>
              <w:left w:w="56" w:type="dxa"/>
              <w:bottom w:w="56" w:type="dxa"/>
              <w:right w:w="56" w:type="dxa"/>
            </w:tcMar>
            <w:vAlign w:val="center"/>
          </w:tcPr>
          <w:p>
            <w:pPr>
              <w:ind w:left="0" w:right="0" w:firstLine="0"/>
              <w:keepNext w:val="off"/>
              <w:keepLines w:val="off"/>
              <w:pageBreakBefore w:val="off"/>
              <w:widowControl w:val="off"/>
              <w:jc w:val="center"/>
              <w:pBdr>
                <w:between w:val="nil"/>
                <w:top w:val="nil"/>
                <w:left w:val="nil"/>
                <w:bottom w:val="nil"/>
                <w:right w:val="nil"/>
              </w:pBdr>
              <w:shd w:val="clear" w:color="auto" w:fill="auto"/>
              <w:spacing w:after="0" w:before="0" w:line="240" w:lineRule="exact"/>
              <w:rPr>
                <w:rFonts w:ascii="メイリオ" w:eastAsia="メイリオ" w:hAnsi="メイリオ" w:cs="メイリオ" w:hint="default"/>
                <w:sz w:val="16"/>
                <w:szCs w:val="16"/>
              </w:rPr>
            </w:pPr>
            <w:r>
              <w:rPr>
                <w:rFonts w:ascii="メイリオ" w:eastAsia="メイリオ" w:hAnsi="メイリオ" w:cs="メイリオ"/>
                <w:color w:val="CF2E2E"/>
                <w:sz w:val="16"/>
                <w:szCs w:val="16"/>
                <w:rtl w:val="off"/>
              </w:rPr>
              <w:t>２５％</w:t>
            </w:r>
            <w:r>
              <w:rPr>
                <w:rFonts w:ascii="メイリオ" w:eastAsia="メイリオ" w:hAnsi="メイリオ" w:cs="メイリオ"/>
                <w:sz w:val="16"/>
                <w:szCs w:val="16"/>
                <w:rtl w:val="off"/>
              </w:rPr>
              <w:t>相当額</w:t>
            </w:r>
          </w:p>
        </w:tc>
      </w:tr>
    </w:tbl>
    <w:p>
      <w:r>
        <mc:AlternateContent>
          <mc:Choice Requires="wps">
            <w:drawing>
              <wp:anchor distT="0" distB="0" distL="114300" distR="114300" behindDoc="0" locked="0" layoutInCell="1" simplePos="0" relativeHeight="251660288" allowOverlap="1" hidden="0">
                <wp:simplePos x="0" y="0"/>
                <wp:positionH relativeFrom="column">
                  <wp:posOffset>158750</wp:posOffset>
                </wp:positionH>
                <wp:positionV relativeFrom="paragraph">
                  <wp:posOffset>158750</wp:posOffset>
                </wp:positionV>
                <wp:extent cx="4238625" cy="4219575"/>
                <wp:effectExtent l="3175" t="3175" r="3175" b="3175"/>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8625" cy="4219575"/>
                        </a:xfrm>
                        <a:prstGeom prst="rect">
                          <a:avLst/>
                        </a:prstGeom>
                        <a:solidFill>
                          <a:prstClr val="white"/>
                        </a:solidFill>
                        <a:ln w="6350">
                          <a:solidFill>
                            <a:srgbClr val="dfe6f7">
                              <a:alpha val="100000"/>
                            </a:srgbClr>
                          </a:solidFill>
                        </a:ln>
                      </wps:spPr>
                      <wps:style>
                        <a:lnRef idx="2">
                          <a:schemeClr val="accent1">
                            <a:shade val="50000"/>
                          </a:schemeClr>
                        </a:lnRef>
                        <a:fillRef idx="1">
                          <a:schemeClr val="accent1"/>
                        </a:fillRef>
                        <a:effectRef idx="0">
                          <a:schemeClr val="accent1"/>
                        </a:effectRef>
                        <a:fontRef idx="minor"/>
                      </wps:style>
                      <wps:txbx>
                        <w:txbxContent>
                          <w:p>
                            <w:pPr>
                              <w:ind w:left="864" w:right="864"/>
                              <w:jc w:val="center"/>
                              <w:spacing w:after="360" w:before="360" w:line="276" w:lineRule="auto"/>
                            </w:pPr>
                            <w:r>
                              <w:rPr>
                                <w:rFonts w:ascii="Arial" w:eastAsia="Arial" w:hAnsi="Arial" w:cs="Arial"/>
                                <w:i/>
                                <w:color w:val="4F81BD"/>
                                <w:sz w:val="22"/>
                              </w:rPr>
                              <w:t>memo</w:t>
                            </w:r>
                          </w:p>
                        </w:txbxContent>
                      </wps:txbx>
                      <wps:bodyPr rot="0" vert="horz" wrap="square" lIns="91440" tIns="45720" rIns="91440" bIns="45720" anchor="t">
                        <a:noAutofit/>
                      </wps:bodyPr>
                    </wps:wsp>
                  </a:graphicData>
                </a:graphic>
              </wp:anchor>
            </w:drawing>
          </mc:Choice>
          <mc:Fallback>
            <w:pict>
              <v:rect id="1025" style="position:absolute;margin-left:12.5pt;margin-top:12.5pt;width:333.75pt;height:332.25pt;mso-position-horizontal-relative:column;mso-position-vertical-relative:line;v-text-anchor:top;mso-wrap-style:square;z-index:251660288" o:allowincell="t" filled="t" fillcolor="#ffffff" stroked="t" strokecolor="#dfe6f7" strokeweight="0.5pt">
                <v:textbox inset="2.5mm,1.3mm,2.5mm,1.3mm">
                  <w:txbxContent>
                    <w:p>
                      <w:pPr>
                        <w:ind w:left="864" w:right="864"/>
                        <w:jc w:val="center"/>
                        <w:spacing w:after="360" w:before="360" w:line="276" w:lineRule="auto"/>
                      </w:pPr>
                      <w:r>
                        <w:rPr>
                          <w:rFonts w:ascii="Arial" w:eastAsia="Arial" w:hAnsi="Arial" w:cs="Arial"/>
                          <w:i/>
                          <w:color w:val="4F81BD"/>
                          <w:sz w:val="22"/>
                        </w:rPr>
                        <w:t>memo</w:t>
                      </w:r>
                    </w:p>
                  </w:txbxContent>
                </v:textbox>
                <v:stroke joinstyle="round"/>
              </v:rect>
            </w:pict>
          </mc:Fallback>
        </mc:AlternateContent>
      </w:r>
    </w:p>
    <w:sectPr>
      <w:pgSz w:w="8391" w:h="11906"/>
      <w:pgMar w:top="363" w:right="363" w:bottom="363" w:left="1094" w:header="113" w:footer="113" w:gutter="0"/>
      <w:cols/>
      <w:docGrid w:linePitch="360"/>
      <w:footerReference w:type="default" r:id="rId1"/>
      <w:pgBorders w:offsetFrom="text" w:zOrder="front">
        <w:top w:val="none"/>
        <w:left w:val="none"/>
        <w:bottom w:val="single" w:sz="4" w:space="1" w:color="auto"/>
        <w:right w:val="none"/>
      </w:pgBorders>
      <w:pgNumType w:start="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メイリオ">
    <w:panose1 w:val="020B0604030504040204"/>
    <w:charset w:val="00"/>
    <w:notTrueType w:val="false"/>
    <w:sig w:usb0="E00002FF" w:usb1="6AC7FFFF" w:usb2="08000012" w:usb3="00000001" w:csb0="6002009F" w:csb1="DFD70000"/>
  </w:font>
  <w:font w:name="Arial">
    <w:panose1 w:val="020B0604020202020204"/>
    <w:charset w:val="00"/>
    <w:notTrueType w:val="false"/>
    <w:sig w:usb0="E0002EFF" w:usb1="C000785B" w:usb2="00000009" w:usb3="00000001" w:csb0="400001FF" w:csb1="FFFF0000"/>
  </w:font>
  <w:font w:name="Wingdings">
    <w:panose1 w:val="05000000000000000000"/>
    <w:charset w:val="00"/>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rPr>
            <w:rFonts w:eastAsiaTheme="minorHAnsi" w:cs="Arial"/>
          </w:rPr>
          <w:id w:val="-1"/>
          <w:docPartObj>
            <w:docPartGallery w:val="Page Numbers (Bottom of Page)"/>
            <w:docPartUnique/>
          </w:docPartObj>
        </w:sdtPr>
        <w:sdtContent>
          <w:p>
            <w:pPr>
              <w:pStyle w:val="a9"/>
              <w:jc w:val="center"/>
              <w:rPr>
                <w:rFonts w:eastAsiaTheme="minorHAnsi" w:cs="Arial"/>
              </w:rPr>
            </w:pPr>
            <w:r/>
            <w:r/>
            <w:r>
              <w:rPr>
                <w:rFonts w:eastAsiaTheme="minorHAnsi" w:cs="Arial"/>
              </w:rPr>
              <w:fldChar w:fldCharType="begin"/>
            </w:r>
            <w:r>
              <w:rPr>
                <w:rFonts w:eastAsiaTheme="minorHAnsi" w:cs="Arial"/>
              </w:rPr>
              <w:instrText xml:space="preserve"> PAGE   \* MERGEFORMAT </w:instrText>
            </w:r>
            <w:r>
              <w:rPr>
                <w:rFonts w:eastAsiaTheme="minorHAnsi" w:cs="Arial"/>
              </w:rPr>
              <w:fldChar w:fldCharType="separate"/>
            </w:r>
            <w:r>
              <w:rPr>
                <w:rFonts w:eastAsiaTheme="minorHAnsi" w:cs="Arial"/>
                <w:noProof/>
              </w:rPr>
              <w:t>1</w:t>
            </w:r>
            <w:r>
              <w:rPr>
                <w:rFonts w:eastAsiaTheme="minorHAnsi" w:cs="Arial"/>
              </w:rPr>
              <w:fldChar w:fldCharType="end"/>
            </w:r>
            <w:r/>
          </w:p>
        </w:sdtContent>
      </w:sdt>
      <w:p>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effbf7b0"/>
    <w:multiLevelType w:val="hybridMultilevel"/>
    <w:lvl w:ilvl="0" w:tplc="6f36d066">
      <w:start w:val="1"/>
      <w:lvlText w:val="%1)"/>
      <w:lvlJc w:val="left"/>
      <w:pPr>
        <w:ind w:left="800" w:right="0" w:hanging="400"/>
      </w:pPr>
      <w:rPr/>
    </w:lvl>
    <w:lvl w:ilvl="1" w:tplc="4392858c">
      <w:start w:val="1"/>
      <w:numFmt w:val="lowerLetter"/>
      <w:lvlText w:val="%2."/>
      <w:lvlJc w:val="left"/>
      <w:pPr>
        <w:ind w:left="1200" w:right="0" w:hanging="400"/>
      </w:pPr>
      <w:rPr/>
    </w:lvl>
    <w:lvl w:ilvl="2" w:tplc="409001b">
      <w:start w:val="1"/>
      <w:numFmt w:val="lowerRoman"/>
      <w:lvlText w:val="%3."/>
      <w:lvlJc w:val="left"/>
      <w:pPr>
        <w:ind w:left="1600" w:right="0" w:hanging="400"/>
      </w:pPr>
      <w:rPr/>
    </w:lvl>
    <w:lvl w:ilvl="3" w:tplc="409000f">
      <w:start w:val="1"/>
      <w:lvlText w:val="%4."/>
      <w:lvlJc w:val="left"/>
      <w:pPr>
        <w:ind w:left="2000" w:right="0" w:hanging="400"/>
      </w:pPr>
      <w:rPr/>
    </w:lvl>
    <w:lvl w:ilvl="4" w:tplc="4392858c">
      <w:start w:val="1"/>
      <w:numFmt w:val="lowerLetter"/>
      <w:lvlText w:val="%5."/>
      <w:lvlJc w:val="left"/>
      <w:pPr>
        <w:ind w:left="2400" w:right="0" w:hanging="400"/>
      </w:pPr>
      <w:rPr/>
    </w:lvl>
    <w:lvl w:ilvl="5" w:tplc="409001b">
      <w:start w:val="1"/>
      <w:numFmt w:val="lowerRoman"/>
      <w:lvlText w:val="%6."/>
      <w:lvlJc w:val="left"/>
      <w:pPr>
        <w:ind w:left="2800" w:right="0" w:hanging="400"/>
      </w:pPr>
      <w:rPr/>
    </w:lvl>
    <w:lvl w:ilvl="6" w:tplc="409000f">
      <w:start w:val="1"/>
      <w:lvlText w:val="%7."/>
      <w:lvlJc w:val="left"/>
      <w:pPr>
        <w:ind w:left="3200" w:right="0" w:hanging="400"/>
      </w:pPr>
      <w:rPr/>
    </w:lvl>
    <w:lvl w:ilvl="7" w:tplc="4392858c">
      <w:start w:val="1"/>
      <w:numFmt w:val="lowerLetter"/>
      <w:lvlText w:val="%8."/>
      <w:lvlJc w:val="left"/>
      <w:pPr>
        <w:ind w:left="3600" w:right="0" w:hanging="400"/>
      </w:pPr>
      <w:rPr/>
    </w:lvl>
    <w:lvl w:ilvl="8" w:tplc="409001b">
      <w:start w:val="1"/>
      <w:numFmt w:val="lowerRoman"/>
      <w:lvlText w:val="%9."/>
      <w:lvlJc w:val="left"/>
      <w:pPr>
        <w:ind w:left="4000" w:right="0" w:hanging="400"/>
      </w:pPr>
      <w:rPr/>
    </w:lvl>
  </w:abstractNum>
  <w:abstractNum w:abstractNumId="1">
    <w:multiLevelType w:val="singleLevel"/>
    <w:lvl w:ilvl="0" w:tplc="409006c">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2">
    <w:multiLevelType w:val="singleLevel"/>
    <w:lvl w:ilvl="0" w:tplc="409006c">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3">
    <w:multiLevelType w:val="singleLevel"/>
    <w:lvl w:ilvl="0" w:tplc="409006c">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4">
    <w:multiLevelType w:val="singleLevel"/>
    <w:lvl w:ilvl="0" w:tplc="409006c">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abstractNum w:abstractNumId="5">
    <w:multiLevelType w:val="singleLevel"/>
    <w:lvl w:ilvl="0" w:tplc="409006c">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u w:val="none" w:color="auto"/>
      </w:rPr>
    </w:lvl>
    <w:lvl w:ilvl="2">
      <w:start w:val="1"/>
      <w:numFmt w:val="bullet"/>
      <w:lvlText w:val="■"/>
      <w:lvlJc w:val="left"/>
      <w:pPr>
        <w:ind w:left="2160" w:hanging="360"/>
      </w:pPr>
      <w:rPr>
        <w:u w:val="none" w:color="auto"/>
      </w:rPr>
    </w:lvl>
    <w:lvl w:ilvl="3">
      <w:start w:val="1"/>
      <w:numFmt w:val="bullet"/>
      <w:lvlText w:val="●"/>
      <w:lvlJc w:val="left"/>
      <w:pPr>
        <w:ind w:left="2880" w:hanging="360"/>
      </w:pPr>
      <w:rPr>
        <w:u w:val="none" w:color="auto"/>
      </w:rPr>
    </w:lvl>
    <w:lvl w:ilvl="4">
      <w:start w:val="1"/>
      <w:numFmt w:val="bullet"/>
      <w:lvlText w:val="○"/>
      <w:lvlJc w:val="left"/>
      <w:pPr>
        <w:ind w:left="3600" w:hanging="360"/>
      </w:pPr>
      <w:rPr>
        <w:u w:val="none" w:color="auto"/>
      </w:rPr>
    </w:lvl>
    <w:lvl w:ilvl="5">
      <w:start w:val="1"/>
      <w:numFmt w:val="bullet"/>
      <w:lvlText w:val="■"/>
      <w:lvlJc w:val="left"/>
      <w:pPr>
        <w:ind w:left="4320" w:hanging="360"/>
      </w:pPr>
      <w:rPr>
        <w:u w:val="none" w:color="auto"/>
      </w:rPr>
    </w:lvl>
    <w:lvl w:ilvl="6">
      <w:start w:val="1"/>
      <w:numFmt w:val="bullet"/>
      <w:lvlText w:val="●"/>
      <w:lvlJc w:val="left"/>
      <w:pPr>
        <w:ind w:left="5040" w:hanging="360"/>
      </w:pPr>
      <w:rPr>
        <w:u w:val="none" w:color="auto"/>
      </w:rPr>
    </w:lvl>
    <w:lvl w:ilvl="7">
      <w:start w:val="1"/>
      <w:numFmt w:val="bullet"/>
      <w:lvlText w:val="○"/>
      <w:lvlJc w:val="left"/>
      <w:pPr>
        <w:ind w:left="5760" w:hanging="360"/>
      </w:pPr>
      <w:rPr>
        <w:u w:val="none" w:color="auto"/>
      </w:rPr>
    </w:lvl>
    <w:lvl w:ilvl="8">
      <w:start w:val="1"/>
      <w:numFmt w:val="bullet"/>
      <w:lvlText w:val="■"/>
      <w:lvlJc w:val="left"/>
      <w:pPr>
        <w:ind w:left="6480" w:hanging="360"/>
      </w:pPr>
      <w:rPr>
        <w:u w:val="none" w:color="auto"/>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mirrorMargins/>
  <w:bordersDontSurroundHeader/>
  <w:bordersDontSurroundFooter/>
  <w:hideGrammaticalErrors/>
  <w:proofState w:spelling="clean" w:grammar="clean"/>
  <w:defaultTabStop w:val="84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5"/>
    <w:lsdException w:name="Table Theme" w:semiHidden="1" w:unhideWhenUsed="1"/>
    <w:lsdException w:name="Placeholder Text" w:semiHidden="1"/>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atentStyles>
  <w:style w:type="paragraph" w:default="1" w:styleId="a">
    <w:name w:val="Normal"/>
    <w:qFormat/>
    <w:pPr>
      <w:widowControl w:val="off"/>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b0">
    <w:name w:val="heading 1"/>
    <w:basedOn w:val="a"/>
    <w:next w:val="a"/>
    <w:pPr>
      <w:pStyle w:val="a"/>
      <w:ind w:left="0" w:right="0" w:firstLine="0"/>
      <w:outlineLvl w:val="0"/>
      <w:jc w:val="center"/>
    </w:pPr>
    <w:rPr>
      <w:rFonts w:ascii="メイリオ" w:eastAsia="メイリオ" w:hAnsi="メイリオ" w:cs="メイリオ" w:hint="default"/>
      <w:b/>
      <w:sz w:val="32"/>
      <w:szCs w:val="40"/>
      <w:u w:val="none" w:color="auto"/>
    </w:rPr>
  </w:style>
  <w:style w:type="paragraph" w:customStyle="1" w:styleId="b1">
    <w:name w:val="スタイル 2"/>
    <w:basedOn w:val="b0"/>
    <w:qFormat/>
    <w:pPr>
      <w:pStyle w:val="a"/>
      <w:ind w:left="0" w:right="0" w:firstLine="0"/>
      <w:outlineLvl w:val="1"/>
      <w:spacing w:line="240"/>
    </w:pPr>
    <w:rPr>
      <w:rFonts w:ascii="メイリオ" w:eastAsia="メイリオ" w:hAnsi="メイリオ" w:cs="メイリオ" w:hint="default"/>
      <w:sz w:val="32"/>
    </w:rPr>
  </w:style>
  <w:style w:type="paragraph" w:default="1" w:styleId="b2">
    <w:name w:val="normal"/>
  </w:style>
  <w:style w:type="paragraph" w:styleId="a3">
    <w:name w:val="heading 2"/>
    <w:basedOn w:val="b2"/>
    <w:next w:val="a"/>
    <w:pPr>
      <w:keepNext/>
      <w:keepLines/>
      <w:pBdr>
        <w:top w:val="single" w:sz="8" w:space="0" w:color="4A86E8"/>
        <w:left w:val="single" w:sz="8" w:space="0" w:color="4A86E8"/>
        <w:bottom w:val="single" w:sz="8" w:space="0" w:color="4A86E8"/>
        <w:right w:val="single" w:sz="8" w:space="0" w:color="4A86E8"/>
      </w:pBdr>
      <w:shd w:val="clear" w:color="auto" w:fill="6D9EEB"/>
      <w:spacing w:line="240" w:lineRule="auto"/>
    </w:pPr>
    <w:rPr>
      <w:rFonts w:eastAsia="メイリオ" w:hint="default"/>
      <w:b/>
      <w:sz w:val="16"/>
      <w:szCs w:val="34"/>
    </w:rPr>
  </w:style>
  <w:style w:type="paragraph" w:styleId="a4">
    <w:name w:val="heading 3"/>
    <w:basedOn w:val="b2"/>
    <w:next w:val="a"/>
    <w:pPr>
      <w:keepNext/>
      <w:keepLines/>
      <w:pBdr>
        <w:bottom w:val="single" w:sz="8" w:space="0" w:color="4A86E8"/>
      </w:pBdr>
      <w:spacing w:line="240" w:lineRule="auto"/>
    </w:pPr>
    <w:rPr>
      <w:rFonts w:eastAsia="メイリオ" w:hint="default"/>
      <w:b/>
      <w:sz w:val="16"/>
      <w:szCs w:val="26"/>
    </w:rPr>
  </w:style>
  <w:style w:type="table" w:default="1" w:styleId="a5">
    <w:name w:val="Table Normal"/>
  </w:style>
  <w:style w:type="table" w:customStyle="1" w:styleId="a6">
    <w:basedOn w:val="a5"/>
    <w:tblPr>
      <w:tblCellMar>
        <w:top w:w="100" w:type="dxa"/>
        <w:left w:w="100" w:type="dxa"/>
        <w:bottom w:w="100" w:type="dxa"/>
        <w:right w:w="100" w:type="dxa"/>
      </w:tblCellMar>
      <w:tblStyleColBandSize w:val="1"/>
      <w:tblStyleRowBandSize w:val="1"/>
    </w:tblPr>
    <w:tblStylePr w:type="firstRow">
      <w:tcPr/>
    </w:tblStylePr>
    <w:tblStylePr w:type="lastRow">
      <w:tcPr/>
    </w:tblStylePr>
    <w:tblStylePr w:type="firstCol">
      <w:tcPr/>
    </w:tblStylePr>
    <w:tblStylePr w:type="lastCol">
      <w:tcPr/>
    </w:tblStylePr>
    <w:tblStylePr w:type="band1Vert">
      <w:tcPr/>
    </w:tblStylePr>
    <w:tblStylePr w:type="band2Vert">
      <w:tcPr/>
    </w:tblStylePr>
    <w:tblStylePr w:type="band1Horz">
      <w:tcPr/>
    </w:tblStylePr>
    <w:tblStylePr w:type="band2Horz">
      <w:tcPr/>
    </w:tblStylePr>
    <w:tblStylePr w:type="neCell">
      <w:tcPr/>
    </w:tblStylePr>
    <w:tblStylePr w:type="nwCell">
      <w:tcPr/>
    </w:tblStylePr>
    <w:tblStylePr w:type="seCell">
      <w:tcPr/>
    </w:tblStylePr>
    <w:tblStylePr w:type="swCell">
      <w:tcPr/>
    </w:tblStylePr>
  </w:style>
  <w:style w:type="paragraph" w:styleId="a7">
    <w:name w:val="heading 4"/>
    <w:basedOn w:val="b2"/>
    <w:next w:val="a"/>
    <w:pPr>
      <w:keepNext/>
      <w:keepLines/>
      <w:pBdr>
        <w:bottom w:val="single" w:sz="8" w:space="0" w:color="000000"/>
      </w:pBdr>
      <w:spacing w:after="40" w:before="40" w:line="240" w:lineRule="auto"/>
    </w:pPr>
    <w:rPr>
      <w:rFonts w:eastAsia="メイリオ" w:hint="default"/>
      <w:b/>
      <w:sz w:val="16"/>
    </w:rPr>
  </w:style>
  <w:style w:type="paragraph" w:styleId="a8">
    <w:name w:val="List Paragraph"/>
    <w:uiPriority w:val="34"/>
    <w:basedOn w:val="a"/>
    <w:qFormat/>
    <w:pPr>
      <w:ind w:left="851"/>
    </w:pPr>
  </w:style>
  <w:style w:type="paragraph" w:styleId="a9">
    <w:name w:val="footer"/>
    <w:uiPriority w:val="99"/>
    <w:basedOn w:val="a"/>
    <w:unhideWhenUsed/>
    <w:pPr>
      <w:snapToGrid w:val="0"/>
      <w:tabs>
        <w:tab w:val="center" w:pos="4252"/>
        <w:tab w:val="right" w:pos="8504"/>
      </w:tabs>
    </w:pPr>
    <w:rPr>
      <w:rFonts w:cstheme="minorBidi"/>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智秀</dc:creator>
  <cp:keywords/>
  <dc:description/>
  <cp:lastModifiedBy>智秀</cp:lastModifiedBy>
  <cp:revision>1</cp:revision>
  <dcterms:created xsi:type="dcterms:W3CDTF">2022-08-28T23:41:46Z</dcterms:created>
  <dcterms:modified xsi:type="dcterms:W3CDTF">2022-08-28T21:53:28Z</dcterms:modified>
  <cp:version>1100.0100.01</cp:version>
</cp:coreProperties>
</file>